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DAD5" w14:textId="66EAD0DD" w:rsidR="005C10E6" w:rsidRPr="009A2CCF" w:rsidRDefault="002D48EA" w:rsidP="005C10E6">
      <w:pPr>
        <w:spacing w:line="360" w:lineRule="auto"/>
        <w:jc w:val="center"/>
        <w:rPr>
          <w:rFonts w:ascii="Times New Roman" w:hAnsi="Times New Roman" w:cs="Times New Roman"/>
          <w:b/>
          <w:bCs/>
        </w:rPr>
      </w:pPr>
      <w:r w:rsidRPr="009A2CCF">
        <w:rPr>
          <w:rFonts w:ascii="Times New Roman" w:hAnsi="Times New Roman" w:cs="Times New Roman"/>
          <w:b/>
          <w:bCs/>
        </w:rPr>
        <w:t>O precedente que nunca foi: limites do Tema 990 e a ampliação ilegítima via RCL 61.944</w:t>
      </w:r>
    </w:p>
    <w:p w14:paraId="1AA5CD61" w14:textId="6D0C7F35" w:rsidR="008D69A3" w:rsidRPr="009A2CCF" w:rsidRDefault="008D69A3" w:rsidP="009A2CCF">
      <w:pPr>
        <w:spacing w:line="360" w:lineRule="auto"/>
        <w:jc w:val="center"/>
        <w:rPr>
          <w:rFonts w:ascii="Times New Roman" w:hAnsi="Times New Roman" w:cs="Times New Roman"/>
          <w:b/>
          <w:bCs/>
        </w:rPr>
      </w:pPr>
      <w:r w:rsidRPr="009A2CCF">
        <w:rPr>
          <w:rFonts w:ascii="Times New Roman" w:hAnsi="Times New Roman" w:cs="Times New Roman"/>
          <w:b/>
          <w:bCs/>
        </w:rPr>
        <w:t>Thúlio Guilherme Nogueira</w:t>
      </w:r>
    </w:p>
    <w:p w14:paraId="0098B7C8" w14:textId="77777777" w:rsidR="009A2CCF" w:rsidRPr="009A2CCF" w:rsidRDefault="009A2CCF" w:rsidP="009A2CCF">
      <w:pPr>
        <w:pStyle w:val="Textodenotaderodap"/>
        <w:spacing w:line="360" w:lineRule="auto"/>
        <w:jc w:val="center"/>
        <w:rPr>
          <w:rFonts w:ascii="Times New Roman" w:hAnsi="Times New Roman" w:cs="Times New Roman"/>
          <w:sz w:val="24"/>
          <w:szCs w:val="24"/>
        </w:rPr>
      </w:pPr>
      <w:r w:rsidRPr="009A2CCF">
        <w:rPr>
          <w:rFonts w:ascii="Times New Roman" w:hAnsi="Times New Roman" w:cs="Times New Roman"/>
          <w:sz w:val="24"/>
          <w:szCs w:val="24"/>
        </w:rPr>
        <w:t>Mestre em Direito Processual pela Faculdade Mineira de Direito da PUC Minas, instituição na qual também se graduou. Advogado criminalista e sócio-fundador do Drummond &amp; Nogueira Advocacia.</w:t>
      </w:r>
    </w:p>
    <w:p w14:paraId="1388C275" w14:textId="77777777" w:rsidR="009A2CCF" w:rsidRPr="009A2CCF" w:rsidRDefault="009A2CCF" w:rsidP="009A2CCF">
      <w:pPr>
        <w:spacing w:line="360" w:lineRule="auto"/>
        <w:jc w:val="center"/>
        <w:rPr>
          <w:rFonts w:ascii="Times New Roman" w:hAnsi="Times New Roman" w:cs="Times New Roman"/>
          <w:b/>
          <w:bCs/>
        </w:rPr>
      </w:pPr>
    </w:p>
    <w:p w14:paraId="4A7E30FC" w14:textId="5C66C125" w:rsidR="008D69A3" w:rsidRPr="009A2CCF" w:rsidRDefault="008D69A3" w:rsidP="009A2CCF">
      <w:pPr>
        <w:spacing w:line="360" w:lineRule="auto"/>
        <w:jc w:val="center"/>
        <w:rPr>
          <w:rFonts w:ascii="Times New Roman" w:hAnsi="Times New Roman" w:cs="Times New Roman"/>
          <w:b/>
          <w:bCs/>
        </w:rPr>
      </w:pPr>
      <w:r w:rsidRPr="009A2CCF">
        <w:rPr>
          <w:rFonts w:ascii="Times New Roman" w:hAnsi="Times New Roman" w:cs="Times New Roman"/>
          <w:b/>
          <w:bCs/>
        </w:rPr>
        <w:t>Neuler Mendes Gomes Junior</w:t>
      </w:r>
    </w:p>
    <w:p w14:paraId="3C546F05" w14:textId="79F67018" w:rsidR="009A2CCF" w:rsidRPr="009A2CCF" w:rsidRDefault="009A2CCF" w:rsidP="009A2CCF">
      <w:pPr>
        <w:spacing w:line="360" w:lineRule="auto"/>
        <w:jc w:val="center"/>
        <w:rPr>
          <w:rFonts w:ascii="Times New Roman" w:hAnsi="Times New Roman" w:cs="Times New Roman"/>
        </w:rPr>
      </w:pPr>
      <w:r w:rsidRPr="009A2CCF">
        <w:rPr>
          <w:rFonts w:ascii="Times New Roman" w:hAnsi="Times New Roman" w:cs="Times New Roman"/>
        </w:rPr>
        <w:t>Mestrando no Departamento de Direito Penal, Medicina Forense e Criminologia da Faculdade de Direito da Universidade de São Paulo (USP). Graduado pela Faculdade Mineira de Direito da PUC Minas. Advogado criminalista</w:t>
      </w:r>
    </w:p>
    <w:p w14:paraId="3C81BBCB" w14:textId="77777777" w:rsidR="009A2CCF" w:rsidRPr="009A2CCF" w:rsidRDefault="009A2CCF" w:rsidP="009A2CCF">
      <w:pPr>
        <w:spacing w:line="360" w:lineRule="auto"/>
        <w:jc w:val="both"/>
        <w:rPr>
          <w:rFonts w:ascii="Times New Roman" w:hAnsi="Times New Roman" w:cs="Times New Roman"/>
          <w:b/>
          <w:bCs/>
        </w:rPr>
      </w:pPr>
    </w:p>
    <w:p w14:paraId="07750C2F" w14:textId="737B28BF" w:rsidR="00CE50DA" w:rsidRPr="009A2CCF" w:rsidRDefault="009A2CCF" w:rsidP="009A2CCF">
      <w:pPr>
        <w:spacing w:line="360" w:lineRule="auto"/>
        <w:jc w:val="both"/>
        <w:rPr>
          <w:rFonts w:ascii="Times New Roman" w:hAnsi="Times New Roman" w:cs="Times New Roman"/>
          <w:b/>
          <w:bCs/>
        </w:rPr>
      </w:pPr>
      <w:r w:rsidRPr="009A2CCF">
        <w:rPr>
          <w:rFonts w:ascii="Times New Roman" w:hAnsi="Times New Roman" w:cs="Times New Roman"/>
          <w:b/>
          <w:bCs/>
        </w:rPr>
        <w:t>Resumo</w:t>
      </w:r>
      <w:r w:rsidR="003522DE" w:rsidRPr="009A2CCF">
        <w:rPr>
          <w:rFonts w:ascii="Times New Roman" w:hAnsi="Times New Roman" w:cs="Times New Roman"/>
          <w:b/>
          <w:bCs/>
        </w:rPr>
        <w:t>:</w:t>
      </w:r>
      <w:r w:rsidRPr="009A2CCF">
        <w:rPr>
          <w:rFonts w:ascii="Times New Roman" w:hAnsi="Times New Roman" w:cs="Times New Roman"/>
          <w:b/>
          <w:bCs/>
        </w:rPr>
        <w:t xml:space="preserve"> </w:t>
      </w:r>
      <w:r w:rsidR="00CE50DA" w:rsidRPr="009A2CCF">
        <w:rPr>
          <w:rFonts w:ascii="Times New Roman" w:hAnsi="Times New Roman" w:cs="Times New Roman"/>
        </w:rPr>
        <w:t xml:space="preserve">O artigo analisa a decisão </w:t>
      </w:r>
      <w:r w:rsidR="005A0347" w:rsidRPr="009A2CCF">
        <w:rPr>
          <w:rFonts w:ascii="Times New Roman" w:hAnsi="Times New Roman" w:cs="Times New Roman"/>
        </w:rPr>
        <w:t xml:space="preserve">proferida pela 1ª Turma do Supremo Tribunal Federal </w:t>
      </w:r>
      <w:r w:rsidR="007A2503" w:rsidRPr="009A2CCF">
        <w:rPr>
          <w:rFonts w:ascii="Times New Roman" w:hAnsi="Times New Roman" w:cs="Times New Roman"/>
        </w:rPr>
        <w:t xml:space="preserve">(“STF”) </w:t>
      </w:r>
      <w:r w:rsidR="005A0347" w:rsidRPr="009A2CCF">
        <w:rPr>
          <w:rFonts w:ascii="Times New Roman" w:hAnsi="Times New Roman" w:cs="Times New Roman"/>
        </w:rPr>
        <w:t>na</w:t>
      </w:r>
      <w:r w:rsidR="00CE50DA" w:rsidRPr="009A2CCF">
        <w:rPr>
          <w:rFonts w:ascii="Times New Roman" w:hAnsi="Times New Roman" w:cs="Times New Roman"/>
        </w:rPr>
        <w:t xml:space="preserve"> </w:t>
      </w:r>
      <w:r w:rsidR="007A2503" w:rsidRPr="009A2CCF">
        <w:rPr>
          <w:rFonts w:ascii="Times New Roman" w:hAnsi="Times New Roman" w:cs="Times New Roman"/>
        </w:rPr>
        <w:t xml:space="preserve">Reclamação Constitucional (“RCL”) </w:t>
      </w:r>
      <w:r w:rsidR="00CE50DA" w:rsidRPr="009A2CCF">
        <w:rPr>
          <w:rFonts w:ascii="Times New Roman" w:hAnsi="Times New Roman" w:cs="Times New Roman"/>
        </w:rPr>
        <w:t xml:space="preserve">nº 61.944, que cassou acórdão da </w:t>
      </w:r>
      <w:r w:rsidR="005A0347" w:rsidRPr="009A2CCF">
        <w:rPr>
          <w:rFonts w:ascii="Times New Roman" w:hAnsi="Times New Roman" w:cs="Times New Roman"/>
        </w:rPr>
        <w:t>6ª</w:t>
      </w:r>
      <w:r w:rsidR="00CE50DA" w:rsidRPr="009A2CCF">
        <w:rPr>
          <w:rFonts w:ascii="Times New Roman" w:hAnsi="Times New Roman" w:cs="Times New Roman"/>
        </w:rPr>
        <w:t xml:space="preserve"> Turma do Superior Tribunal de Justiça </w:t>
      </w:r>
      <w:r w:rsidR="007A2503" w:rsidRPr="009A2CCF">
        <w:rPr>
          <w:rFonts w:ascii="Times New Roman" w:hAnsi="Times New Roman" w:cs="Times New Roman"/>
        </w:rPr>
        <w:t xml:space="preserve">(“STJ”) </w:t>
      </w:r>
      <w:r w:rsidR="00CE50DA" w:rsidRPr="009A2CCF">
        <w:rPr>
          <w:rFonts w:ascii="Times New Roman" w:hAnsi="Times New Roman" w:cs="Times New Roman"/>
        </w:rPr>
        <w:t xml:space="preserve">e validou </w:t>
      </w:r>
      <w:r w:rsidR="0040757D" w:rsidRPr="009A2CCF">
        <w:rPr>
          <w:rFonts w:ascii="Times New Roman" w:hAnsi="Times New Roman" w:cs="Times New Roman"/>
        </w:rPr>
        <w:t>o requerimento</w:t>
      </w:r>
      <w:r w:rsidR="00CE50DA" w:rsidRPr="009A2CCF">
        <w:rPr>
          <w:rFonts w:ascii="Times New Roman" w:hAnsi="Times New Roman" w:cs="Times New Roman"/>
        </w:rPr>
        <w:t xml:space="preserve"> de </w:t>
      </w:r>
      <w:r w:rsidR="0040757D" w:rsidRPr="009A2CCF">
        <w:rPr>
          <w:rFonts w:ascii="Times New Roman" w:hAnsi="Times New Roman" w:cs="Times New Roman"/>
        </w:rPr>
        <w:t xml:space="preserve">acesso a </w:t>
      </w:r>
      <w:r w:rsidR="00CE50DA" w:rsidRPr="009A2CCF">
        <w:rPr>
          <w:rFonts w:ascii="Times New Roman" w:hAnsi="Times New Roman" w:cs="Times New Roman"/>
        </w:rPr>
        <w:t>Relatórios de Inteligência Financeira (</w:t>
      </w:r>
      <w:r w:rsidR="007A2503" w:rsidRPr="009A2CCF">
        <w:rPr>
          <w:rFonts w:ascii="Times New Roman" w:hAnsi="Times New Roman" w:cs="Times New Roman"/>
        </w:rPr>
        <w:t>“</w:t>
      </w:r>
      <w:r w:rsidR="00CE50DA" w:rsidRPr="009A2CCF">
        <w:rPr>
          <w:rFonts w:ascii="Times New Roman" w:hAnsi="Times New Roman" w:cs="Times New Roman"/>
        </w:rPr>
        <w:t>RIFs</w:t>
      </w:r>
      <w:r w:rsidR="007A2503" w:rsidRPr="009A2CCF">
        <w:rPr>
          <w:rFonts w:ascii="Times New Roman" w:hAnsi="Times New Roman" w:cs="Times New Roman"/>
        </w:rPr>
        <w:t>”</w:t>
      </w:r>
      <w:r w:rsidR="00CE50DA" w:rsidRPr="009A2CCF">
        <w:rPr>
          <w:rFonts w:ascii="Times New Roman" w:hAnsi="Times New Roman" w:cs="Times New Roman"/>
        </w:rPr>
        <w:t xml:space="preserve">) ao </w:t>
      </w:r>
      <w:r w:rsidR="007A2503" w:rsidRPr="009A2CCF">
        <w:rPr>
          <w:rFonts w:ascii="Times New Roman" w:hAnsi="Times New Roman" w:cs="Times New Roman"/>
        </w:rPr>
        <w:t>Conselho de Controle de Atividades Financeiras (“</w:t>
      </w:r>
      <w:r w:rsidR="00CE50DA" w:rsidRPr="009A2CCF">
        <w:rPr>
          <w:rFonts w:ascii="Times New Roman" w:hAnsi="Times New Roman" w:cs="Times New Roman"/>
        </w:rPr>
        <w:t>COAF</w:t>
      </w:r>
      <w:r w:rsidR="007A2503" w:rsidRPr="009A2CCF">
        <w:rPr>
          <w:rFonts w:ascii="Times New Roman" w:hAnsi="Times New Roman" w:cs="Times New Roman"/>
        </w:rPr>
        <w:t>”)</w:t>
      </w:r>
      <w:r w:rsidR="00CE50DA" w:rsidRPr="009A2CCF">
        <w:rPr>
          <w:rFonts w:ascii="Times New Roman" w:hAnsi="Times New Roman" w:cs="Times New Roman"/>
        </w:rPr>
        <w:t xml:space="preserve"> por autoridades </w:t>
      </w:r>
      <w:r w:rsidR="0040757D" w:rsidRPr="009A2CCF">
        <w:rPr>
          <w:rFonts w:ascii="Times New Roman" w:hAnsi="Times New Roman" w:cs="Times New Roman"/>
        </w:rPr>
        <w:t xml:space="preserve">encarregadas da persecução penal </w:t>
      </w:r>
      <w:r w:rsidR="00CE50DA" w:rsidRPr="009A2CCF">
        <w:rPr>
          <w:rFonts w:ascii="Times New Roman" w:hAnsi="Times New Roman" w:cs="Times New Roman"/>
        </w:rPr>
        <w:t xml:space="preserve">sem autorização judicial. </w:t>
      </w:r>
      <w:r w:rsidR="0040757D" w:rsidRPr="009A2CCF">
        <w:rPr>
          <w:rFonts w:ascii="Times New Roman" w:hAnsi="Times New Roman" w:cs="Times New Roman"/>
        </w:rPr>
        <w:t>Na análise</w:t>
      </w:r>
      <w:r w:rsidR="002D48EA" w:rsidRPr="009A2CCF">
        <w:rPr>
          <w:rFonts w:ascii="Times New Roman" w:hAnsi="Times New Roman" w:cs="Times New Roman"/>
        </w:rPr>
        <w:t>,</w:t>
      </w:r>
      <w:r w:rsidR="00CE50DA" w:rsidRPr="009A2CCF">
        <w:rPr>
          <w:rFonts w:ascii="Times New Roman" w:hAnsi="Times New Roman" w:cs="Times New Roman"/>
        </w:rPr>
        <w:t xml:space="preserve"> </w:t>
      </w:r>
      <w:r w:rsidR="0040757D" w:rsidRPr="009A2CCF">
        <w:rPr>
          <w:rFonts w:ascii="Times New Roman" w:hAnsi="Times New Roman" w:cs="Times New Roman"/>
        </w:rPr>
        <w:t xml:space="preserve">concluiu-se que </w:t>
      </w:r>
      <w:r w:rsidR="00CE50DA" w:rsidRPr="009A2CCF">
        <w:rPr>
          <w:rFonts w:ascii="Times New Roman" w:hAnsi="Times New Roman" w:cs="Times New Roman"/>
        </w:rPr>
        <w:t xml:space="preserve">a decisão </w:t>
      </w:r>
      <w:r w:rsidR="0040757D" w:rsidRPr="009A2CCF">
        <w:rPr>
          <w:rFonts w:ascii="Times New Roman" w:hAnsi="Times New Roman" w:cs="Times New Roman"/>
        </w:rPr>
        <w:t xml:space="preserve">diz </w:t>
      </w:r>
      <w:r w:rsidR="00CE50DA" w:rsidRPr="009A2CCF">
        <w:rPr>
          <w:rFonts w:ascii="Times New Roman" w:hAnsi="Times New Roman" w:cs="Times New Roman"/>
        </w:rPr>
        <w:t>extrai</w:t>
      </w:r>
      <w:r w:rsidR="0040757D" w:rsidRPr="009A2CCF">
        <w:rPr>
          <w:rFonts w:ascii="Times New Roman" w:hAnsi="Times New Roman" w:cs="Times New Roman"/>
        </w:rPr>
        <w:t>r</w:t>
      </w:r>
      <w:r w:rsidR="00CE50DA" w:rsidRPr="009A2CCF">
        <w:rPr>
          <w:rFonts w:ascii="Times New Roman" w:hAnsi="Times New Roman" w:cs="Times New Roman"/>
        </w:rPr>
        <w:t xml:space="preserve"> do Tema 990</w:t>
      </w:r>
      <w:r w:rsidR="00520BA9" w:rsidRPr="009A2CCF">
        <w:rPr>
          <w:rFonts w:ascii="Times New Roman" w:hAnsi="Times New Roman" w:cs="Times New Roman"/>
        </w:rPr>
        <w:t xml:space="preserve">/STF </w:t>
      </w:r>
      <w:r w:rsidR="00CE50DA" w:rsidRPr="009A2CCF">
        <w:rPr>
          <w:rFonts w:ascii="Times New Roman" w:hAnsi="Times New Roman" w:cs="Times New Roman"/>
        </w:rPr>
        <w:t xml:space="preserve">o que nele não foi decidido, </w:t>
      </w:r>
      <w:r w:rsidR="0040757D" w:rsidRPr="009A2CCF">
        <w:rPr>
          <w:rFonts w:ascii="Times New Roman" w:hAnsi="Times New Roman" w:cs="Times New Roman"/>
        </w:rPr>
        <w:t xml:space="preserve">autorizando </w:t>
      </w:r>
      <w:r w:rsidR="00CE50DA" w:rsidRPr="009A2CCF">
        <w:rPr>
          <w:rFonts w:ascii="Times New Roman" w:hAnsi="Times New Roman" w:cs="Times New Roman"/>
        </w:rPr>
        <w:t xml:space="preserve">uma prática — </w:t>
      </w:r>
      <w:r w:rsidR="0040757D" w:rsidRPr="009A2CCF">
        <w:rPr>
          <w:rFonts w:ascii="Times New Roman" w:hAnsi="Times New Roman" w:cs="Times New Roman"/>
        </w:rPr>
        <w:t xml:space="preserve">o requerimento e obtenção de acesso a RIFs sem autorização judicial </w:t>
      </w:r>
      <w:r w:rsidR="00CE50DA" w:rsidRPr="009A2CCF">
        <w:rPr>
          <w:rFonts w:ascii="Times New Roman" w:hAnsi="Times New Roman" w:cs="Times New Roman"/>
        </w:rPr>
        <w:t xml:space="preserve">— que </w:t>
      </w:r>
      <w:r w:rsidR="0040757D" w:rsidRPr="009A2CCF">
        <w:rPr>
          <w:rFonts w:ascii="Times New Roman" w:hAnsi="Times New Roman" w:cs="Times New Roman"/>
        </w:rPr>
        <w:t xml:space="preserve">não </w:t>
      </w:r>
      <w:r w:rsidR="00CE50DA" w:rsidRPr="009A2CCF">
        <w:rPr>
          <w:rFonts w:ascii="Times New Roman" w:hAnsi="Times New Roman" w:cs="Times New Roman"/>
        </w:rPr>
        <w:t xml:space="preserve">foi objeto da tese fixada </w:t>
      </w:r>
      <w:r w:rsidR="0040757D" w:rsidRPr="009A2CCF">
        <w:rPr>
          <w:rFonts w:ascii="Times New Roman" w:hAnsi="Times New Roman" w:cs="Times New Roman"/>
        </w:rPr>
        <w:t>e não tem previsão legal</w:t>
      </w:r>
      <w:r w:rsidR="00CE50DA" w:rsidRPr="009A2CCF">
        <w:rPr>
          <w:rFonts w:ascii="Times New Roman" w:hAnsi="Times New Roman" w:cs="Times New Roman"/>
        </w:rPr>
        <w:t>.</w:t>
      </w:r>
      <w:r w:rsidR="003A3653" w:rsidRPr="009A2CCF">
        <w:rPr>
          <w:rFonts w:ascii="Times New Roman" w:hAnsi="Times New Roman" w:cs="Times New Roman"/>
        </w:rPr>
        <w:t xml:space="preserve"> S</w:t>
      </w:r>
      <w:r w:rsidR="00CE50DA" w:rsidRPr="009A2CCF">
        <w:rPr>
          <w:rFonts w:ascii="Times New Roman" w:hAnsi="Times New Roman" w:cs="Times New Roman"/>
        </w:rPr>
        <w:t xml:space="preserve">e </w:t>
      </w:r>
      <w:r w:rsidR="0040757D" w:rsidRPr="009A2CCF">
        <w:rPr>
          <w:rFonts w:ascii="Times New Roman" w:hAnsi="Times New Roman" w:cs="Times New Roman"/>
        </w:rPr>
        <w:t>a questão discutida</w:t>
      </w:r>
      <w:r w:rsidR="00CE50DA" w:rsidRPr="009A2CCF">
        <w:rPr>
          <w:rFonts w:ascii="Times New Roman" w:hAnsi="Times New Roman" w:cs="Times New Roman"/>
        </w:rPr>
        <w:t xml:space="preserve"> não </w:t>
      </w:r>
      <w:r w:rsidR="0040757D" w:rsidRPr="009A2CCF">
        <w:rPr>
          <w:rFonts w:ascii="Times New Roman" w:hAnsi="Times New Roman" w:cs="Times New Roman"/>
        </w:rPr>
        <w:t>estava incluída n</w:t>
      </w:r>
      <w:r w:rsidR="00CE50DA" w:rsidRPr="009A2CCF">
        <w:rPr>
          <w:rFonts w:ascii="Times New Roman" w:hAnsi="Times New Roman" w:cs="Times New Roman"/>
        </w:rPr>
        <w:t>a hipótese enfrentada pelo ST</w:t>
      </w:r>
      <w:r w:rsidR="00EA5793" w:rsidRPr="009A2CCF">
        <w:rPr>
          <w:rFonts w:ascii="Times New Roman" w:hAnsi="Times New Roman" w:cs="Times New Roman"/>
        </w:rPr>
        <w:t>F no Tema 990</w:t>
      </w:r>
      <w:r w:rsidR="00CE50DA" w:rsidRPr="009A2CCF">
        <w:rPr>
          <w:rFonts w:ascii="Times New Roman" w:hAnsi="Times New Roman" w:cs="Times New Roman"/>
        </w:rPr>
        <w:t xml:space="preserve">, a </w:t>
      </w:r>
      <w:r w:rsidR="007A2503" w:rsidRPr="009A2CCF">
        <w:rPr>
          <w:rFonts w:ascii="Times New Roman" w:hAnsi="Times New Roman" w:cs="Times New Roman"/>
        </w:rPr>
        <w:t xml:space="preserve">RCL </w:t>
      </w:r>
      <w:r w:rsidR="0040757D" w:rsidRPr="009A2CCF">
        <w:rPr>
          <w:rFonts w:ascii="Times New Roman" w:hAnsi="Times New Roman" w:cs="Times New Roman"/>
        </w:rPr>
        <w:t xml:space="preserve">não </w:t>
      </w:r>
      <w:r w:rsidR="00CE50DA" w:rsidRPr="009A2CCF">
        <w:rPr>
          <w:rFonts w:ascii="Times New Roman" w:hAnsi="Times New Roman" w:cs="Times New Roman"/>
        </w:rPr>
        <w:t>seria cabível</w:t>
      </w:r>
      <w:r w:rsidR="0040757D" w:rsidRPr="009A2CCF">
        <w:rPr>
          <w:rFonts w:ascii="Times New Roman" w:hAnsi="Times New Roman" w:cs="Times New Roman"/>
        </w:rPr>
        <w:t xml:space="preserve"> e o seu provimento ampliou indevidamente o que decidiu o Plenário da Corte</w:t>
      </w:r>
      <w:r w:rsidR="00CE50DA" w:rsidRPr="009A2CCF">
        <w:rPr>
          <w:rFonts w:ascii="Times New Roman" w:hAnsi="Times New Roman" w:cs="Times New Roman"/>
        </w:rPr>
        <w:t xml:space="preserve">. </w:t>
      </w:r>
      <w:r w:rsidR="00520BA9" w:rsidRPr="009A2CCF">
        <w:rPr>
          <w:rFonts w:ascii="Times New Roman" w:hAnsi="Times New Roman" w:cs="Times New Roman"/>
        </w:rPr>
        <w:t xml:space="preserve">Além disso, </w:t>
      </w:r>
      <w:r w:rsidR="0040757D" w:rsidRPr="009A2CCF">
        <w:rPr>
          <w:rFonts w:ascii="Times New Roman" w:hAnsi="Times New Roman" w:cs="Times New Roman"/>
        </w:rPr>
        <w:t xml:space="preserve">nessa ampliação o STF adotou </w:t>
      </w:r>
      <w:r w:rsidR="00CE50DA" w:rsidRPr="009A2CCF">
        <w:rPr>
          <w:rFonts w:ascii="Times New Roman" w:hAnsi="Times New Roman" w:cs="Times New Roman"/>
        </w:rPr>
        <w:t xml:space="preserve">premissas equivocadas sobre </w:t>
      </w:r>
      <w:r w:rsidR="0040757D" w:rsidRPr="009A2CCF">
        <w:rPr>
          <w:rFonts w:ascii="Times New Roman" w:hAnsi="Times New Roman" w:cs="Times New Roman"/>
        </w:rPr>
        <w:t xml:space="preserve">um suposto prejuízo da </w:t>
      </w:r>
      <w:r w:rsidR="00CE50DA" w:rsidRPr="009A2CCF">
        <w:rPr>
          <w:rFonts w:ascii="Times New Roman" w:hAnsi="Times New Roman" w:cs="Times New Roman"/>
        </w:rPr>
        <w:t xml:space="preserve">agilidade investigativa, </w:t>
      </w:r>
      <w:r w:rsidR="00F26DE7" w:rsidRPr="009A2CCF">
        <w:rPr>
          <w:rFonts w:ascii="Times New Roman" w:hAnsi="Times New Roman" w:cs="Times New Roman"/>
        </w:rPr>
        <w:t xml:space="preserve">sobrepondo </w:t>
      </w:r>
      <w:r w:rsidR="00CE50DA" w:rsidRPr="009A2CCF">
        <w:rPr>
          <w:rFonts w:ascii="Times New Roman" w:hAnsi="Times New Roman" w:cs="Times New Roman"/>
        </w:rPr>
        <w:t>recomendações</w:t>
      </w:r>
      <w:r w:rsidR="00F26DE7" w:rsidRPr="009A2CCF">
        <w:rPr>
          <w:rFonts w:ascii="Times New Roman" w:hAnsi="Times New Roman" w:cs="Times New Roman"/>
        </w:rPr>
        <w:t>, sem caráter cogente,</w:t>
      </w:r>
      <w:r w:rsidR="00CE50DA" w:rsidRPr="009A2CCF">
        <w:rPr>
          <w:rFonts w:ascii="Times New Roman" w:hAnsi="Times New Roman" w:cs="Times New Roman"/>
        </w:rPr>
        <w:t xml:space="preserve"> do GAFI </w:t>
      </w:r>
      <w:r w:rsidR="00F26DE7" w:rsidRPr="009A2CCF">
        <w:rPr>
          <w:rFonts w:ascii="Times New Roman" w:hAnsi="Times New Roman" w:cs="Times New Roman"/>
        </w:rPr>
        <w:t>à legislação interna, apesar de conciliáveis</w:t>
      </w:r>
      <w:r w:rsidR="00CE50DA" w:rsidRPr="009A2CCF">
        <w:rPr>
          <w:rFonts w:ascii="Times New Roman" w:hAnsi="Times New Roman" w:cs="Times New Roman"/>
        </w:rPr>
        <w:t xml:space="preserve">. </w:t>
      </w:r>
    </w:p>
    <w:p w14:paraId="719EE5C9" w14:textId="4367FF4A" w:rsidR="003A3653" w:rsidRPr="009A2CCF" w:rsidRDefault="003A3653" w:rsidP="009A2CCF">
      <w:pPr>
        <w:spacing w:line="360" w:lineRule="auto"/>
        <w:jc w:val="both"/>
        <w:rPr>
          <w:rFonts w:ascii="Times New Roman" w:hAnsi="Times New Roman" w:cs="Times New Roman"/>
          <w:lang w:val="en-US"/>
        </w:rPr>
      </w:pPr>
      <w:r w:rsidRPr="009A2CCF">
        <w:rPr>
          <w:rFonts w:ascii="Times New Roman" w:hAnsi="Times New Roman" w:cs="Times New Roman"/>
          <w:b/>
          <w:bCs/>
        </w:rPr>
        <w:t>Palavras-chave:</w:t>
      </w:r>
      <w:r w:rsidRPr="009A2CCF">
        <w:rPr>
          <w:rFonts w:ascii="Times New Roman" w:hAnsi="Times New Roman" w:cs="Times New Roman"/>
        </w:rPr>
        <w:t xml:space="preserve"> Tema 990 de Repercussão Geral. Relatórios de Inteligência Financeira. Acesso a dados sigilosos. </w:t>
      </w:r>
      <w:r w:rsidRPr="009A2CCF">
        <w:rPr>
          <w:rFonts w:ascii="Times New Roman" w:hAnsi="Times New Roman" w:cs="Times New Roman"/>
          <w:lang w:val="en-US"/>
        </w:rPr>
        <w:t xml:space="preserve">“Pacote Anticrime”. </w:t>
      </w:r>
    </w:p>
    <w:p w14:paraId="558F33F2" w14:textId="64A44925" w:rsidR="003A3653" w:rsidRPr="009A2CCF" w:rsidRDefault="009A2CCF" w:rsidP="009A2CCF">
      <w:pPr>
        <w:spacing w:line="360" w:lineRule="auto"/>
        <w:jc w:val="both"/>
        <w:rPr>
          <w:rFonts w:ascii="Times New Roman" w:hAnsi="Times New Roman" w:cs="Times New Roman"/>
          <w:b/>
          <w:bCs/>
        </w:rPr>
      </w:pPr>
      <w:r w:rsidRPr="009A2CCF">
        <w:rPr>
          <w:rFonts w:ascii="Times New Roman" w:hAnsi="Times New Roman" w:cs="Times New Roman"/>
          <w:b/>
          <w:bCs/>
          <w:lang w:val="en-US"/>
        </w:rPr>
        <w:t xml:space="preserve">Abstract: </w:t>
      </w:r>
      <w:r w:rsidR="003A3653" w:rsidRPr="009A2CCF">
        <w:rPr>
          <w:rFonts w:ascii="Times New Roman" w:hAnsi="Times New Roman" w:cs="Times New Roman"/>
          <w:lang w:val="en-US"/>
        </w:rPr>
        <w:t xml:space="preserve">The article analyzes the decision rendered by the First Panel of the brazilian Supreme Court in Constitutional Claim (Reclamação Constitucional – “RCL”) No. 61,944, which quashed the judgment of the Sixth Panel of the Brazilian Superior Court </w:t>
      </w:r>
      <w:r w:rsidR="003A3653" w:rsidRPr="009A2CCF">
        <w:rPr>
          <w:rFonts w:ascii="Times New Roman" w:hAnsi="Times New Roman" w:cs="Times New Roman"/>
          <w:lang w:val="en-US"/>
        </w:rPr>
        <w:lastRenderedPageBreak/>
        <w:t xml:space="preserve">of Justice and validated the request for access to Financial Intelligence Reports (Relatórios de Inteligência Financeira – “RIFs”) of the Council for the Control of Financial Activities (Conselho de Controle de Atividades Financeiras – “COAF”) by authorities in charge of criminal prosecution without judicial authorization. In the analysis, it was </w:t>
      </w:r>
      <w:proofErr w:type="gramStart"/>
      <w:r w:rsidR="003A3653" w:rsidRPr="009A2CCF">
        <w:rPr>
          <w:rFonts w:ascii="Times New Roman" w:hAnsi="Times New Roman" w:cs="Times New Roman"/>
          <w:lang w:val="en-US"/>
        </w:rPr>
        <w:t>concluded  that</w:t>
      </w:r>
      <w:proofErr w:type="gramEnd"/>
      <w:r w:rsidR="003A3653" w:rsidRPr="009A2CCF">
        <w:rPr>
          <w:rFonts w:ascii="Times New Roman" w:hAnsi="Times New Roman" w:cs="Times New Roman"/>
          <w:lang w:val="en-US"/>
        </w:rPr>
        <w:t xml:space="preserve"> the decision purports to extract from Precedent of General Application No. 990/STF what was not decided therein, authorizing a practice — the request for and obtaining of access to RIFs without judicial authorization — that was not the object of the established thesis and has no legal basis. If the matter discussed was not included in the hypothesis addressed by the Supreme Court in Precedent 990, the RCL would not be </w:t>
      </w:r>
      <w:proofErr w:type="gramStart"/>
      <w:r w:rsidR="003A3653" w:rsidRPr="009A2CCF">
        <w:rPr>
          <w:rFonts w:ascii="Times New Roman" w:hAnsi="Times New Roman" w:cs="Times New Roman"/>
          <w:lang w:val="en-US"/>
        </w:rPr>
        <w:t>admissible</w:t>
      </w:r>
      <w:proofErr w:type="gramEnd"/>
      <w:r w:rsidR="003A3653" w:rsidRPr="009A2CCF">
        <w:rPr>
          <w:rFonts w:ascii="Times New Roman" w:hAnsi="Times New Roman" w:cs="Times New Roman"/>
          <w:lang w:val="en-US"/>
        </w:rPr>
        <w:t xml:space="preserve"> and its allowance unduly expanded what the Full Court decided. Furthermore, in this expansion, the Supreme Court adopted mistaken premises regarding an alleged detriment to investigative agility, overriding recommendations, without binding nature, of the FATF over domestic legislation, despite being reconcilable.</w:t>
      </w:r>
    </w:p>
    <w:p w14:paraId="71C8BC47" w14:textId="77777777" w:rsidR="003A3653" w:rsidRPr="009A2CCF" w:rsidRDefault="003A3653" w:rsidP="009A2CCF">
      <w:pPr>
        <w:spacing w:line="360" w:lineRule="auto"/>
        <w:jc w:val="both"/>
        <w:rPr>
          <w:rFonts w:ascii="Times New Roman" w:hAnsi="Times New Roman" w:cs="Times New Roman"/>
        </w:rPr>
      </w:pPr>
      <w:r w:rsidRPr="009A2CCF">
        <w:rPr>
          <w:rFonts w:ascii="Times New Roman" w:hAnsi="Times New Roman" w:cs="Times New Roman"/>
          <w:b/>
          <w:bCs/>
          <w:lang w:val="en-US"/>
        </w:rPr>
        <w:t>Keywords</w:t>
      </w:r>
      <w:r w:rsidRPr="009A2CCF">
        <w:rPr>
          <w:rFonts w:ascii="Times New Roman" w:hAnsi="Times New Roman" w:cs="Times New Roman"/>
          <w:lang w:val="en-US"/>
        </w:rPr>
        <w:t xml:space="preserve">: Precedent of General Application 990. Financial Intelligence Reports. Access to confidential data. </w:t>
      </w:r>
      <w:r w:rsidRPr="009A2CCF">
        <w:rPr>
          <w:rFonts w:ascii="Times New Roman" w:hAnsi="Times New Roman" w:cs="Times New Roman"/>
        </w:rPr>
        <w:t>“Anti-Crime Package” (“Pacote Anticrime”).</w:t>
      </w:r>
    </w:p>
    <w:p w14:paraId="228A4C26" w14:textId="77777777" w:rsidR="003810B2" w:rsidRPr="003A3653" w:rsidRDefault="003810B2" w:rsidP="003A3653">
      <w:pPr>
        <w:spacing w:line="240" w:lineRule="auto"/>
        <w:jc w:val="both"/>
        <w:rPr>
          <w:rFonts w:ascii="Times New Roman" w:hAnsi="Times New Roman" w:cs="Times New Roman"/>
        </w:rPr>
      </w:pPr>
    </w:p>
    <w:p w14:paraId="33009ABA" w14:textId="5B7A698B" w:rsidR="00C95CDA" w:rsidRPr="003A3653" w:rsidRDefault="00C95CDA" w:rsidP="003A3653">
      <w:pPr>
        <w:pStyle w:val="PargrafodaLista"/>
        <w:numPr>
          <w:ilvl w:val="0"/>
          <w:numId w:val="1"/>
        </w:numPr>
        <w:spacing w:line="360" w:lineRule="auto"/>
        <w:ind w:left="284" w:hanging="284"/>
        <w:jc w:val="both"/>
        <w:rPr>
          <w:rFonts w:ascii="Times New Roman" w:hAnsi="Times New Roman" w:cs="Times New Roman"/>
          <w:b/>
          <w:bCs/>
        </w:rPr>
      </w:pPr>
      <w:r w:rsidRPr="003A3653">
        <w:rPr>
          <w:rFonts w:ascii="Times New Roman" w:hAnsi="Times New Roman" w:cs="Times New Roman"/>
          <w:b/>
          <w:bCs/>
        </w:rPr>
        <w:t xml:space="preserve">Situação fática e processual relevante: </w:t>
      </w:r>
    </w:p>
    <w:p w14:paraId="0E5D59CC" w14:textId="77777777" w:rsidR="00A1178A" w:rsidRPr="003A3653" w:rsidRDefault="00A1178A" w:rsidP="003A3653">
      <w:pPr>
        <w:pStyle w:val="PargrafodaLista"/>
        <w:spacing w:line="360" w:lineRule="auto"/>
        <w:jc w:val="both"/>
        <w:rPr>
          <w:rFonts w:ascii="Times New Roman" w:hAnsi="Times New Roman" w:cs="Times New Roman"/>
          <w:b/>
          <w:bCs/>
        </w:rPr>
      </w:pPr>
    </w:p>
    <w:p w14:paraId="7F7A6704" w14:textId="1D75C38C" w:rsidR="008B02EF" w:rsidRPr="003A3653" w:rsidRDefault="008B02EF" w:rsidP="003A3653">
      <w:pPr>
        <w:spacing w:line="360" w:lineRule="auto"/>
        <w:jc w:val="both"/>
        <w:rPr>
          <w:rFonts w:ascii="Times New Roman" w:hAnsi="Times New Roman" w:cs="Times New Roman"/>
        </w:rPr>
      </w:pPr>
      <w:r w:rsidRPr="003A3653">
        <w:rPr>
          <w:rFonts w:ascii="Times New Roman" w:hAnsi="Times New Roman" w:cs="Times New Roman"/>
        </w:rPr>
        <w:t>Ao julgar o RHC nº 147.707</w:t>
      </w:r>
      <w:r w:rsidR="003C5C2B" w:rsidRPr="003A3653">
        <w:rPr>
          <w:rFonts w:ascii="Times New Roman" w:hAnsi="Times New Roman" w:cs="Times New Roman"/>
        </w:rPr>
        <w:t xml:space="preserve"> (DJe 24.08.2023)</w:t>
      </w:r>
      <w:r w:rsidRPr="003A3653">
        <w:rPr>
          <w:rFonts w:ascii="Times New Roman" w:hAnsi="Times New Roman" w:cs="Times New Roman"/>
        </w:rPr>
        <w:t xml:space="preserve">, a Sexta Turma do </w:t>
      </w:r>
      <w:r w:rsidR="00B60F24" w:rsidRPr="003A3653">
        <w:rPr>
          <w:rFonts w:ascii="Times New Roman" w:hAnsi="Times New Roman" w:cs="Times New Roman"/>
        </w:rPr>
        <w:t xml:space="preserve">STJ </w:t>
      </w:r>
      <w:r w:rsidRPr="003A3653">
        <w:rPr>
          <w:rFonts w:ascii="Times New Roman" w:hAnsi="Times New Roman" w:cs="Times New Roman"/>
        </w:rPr>
        <w:t>firmou entendimento de que é ilícit</w:t>
      </w:r>
      <w:r w:rsidR="00F26DE7" w:rsidRPr="003A3653">
        <w:rPr>
          <w:rFonts w:ascii="Times New Roman" w:hAnsi="Times New Roman" w:cs="Times New Roman"/>
        </w:rPr>
        <w:t>o</w:t>
      </w:r>
      <w:r w:rsidRPr="003A3653">
        <w:rPr>
          <w:rFonts w:ascii="Times New Roman" w:hAnsi="Times New Roman" w:cs="Times New Roman"/>
        </w:rPr>
        <w:t xml:space="preserve"> </w:t>
      </w:r>
      <w:r w:rsidR="00F26DE7" w:rsidRPr="003A3653">
        <w:rPr>
          <w:rFonts w:ascii="Times New Roman" w:hAnsi="Times New Roman" w:cs="Times New Roman"/>
        </w:rPr>
        <w:t xml:space="preserve">o requerimento de acesso a </w:t>
      </w:r>
      <w:r w:rsidR="007A2503" w:rsidRPr="003A3653">
        <w:rPr>
          <w:rFonts w:ascii="Times New Roman" w:hAnsi="Times New Roman" w:cs="Times New Roman"/>
        </w:rPr>
        <w:t>RIFs</w:t>
      </w:r>
      <w:r w:rsidRPr="003A3653">
        <w:rPr>
          <w:rFonts w:ascii="Times New Roman" w:hAnsi="Times New Roman" w:cs="Times New Roman"/>
        </w:rPr>
        <w:t xml:space="preserve"> ao </w:t>
      </w:r>
      <w:r w:rsidR="00520BA9" w:rsidRPr="003A3653">
        <w:rPr>
          <w:rFonts w:ascii="Times New Roman" w:hAnsi="Times New Roman" w:cs="Times New Roman"/>
        </w:rPr>
        <w:t>COAF</w:t>
      </w:r>
      <w:r w:rsidRPr="003A3653">
        <w:rPr>
          <w:rFonts w:ascii="Times New Roman" w:hAnsi="Times New Roman" w:cs="Times New Roman"/>
        </w:rPr>
        <w:t xml:space="preserve"> por autoridades </w:t>
      </w:r>
      <w:r w:rsidR="00F26DE7" w:rsidRPr="003A3653">
        <w:rPr>
          <w:rFonts w:ascii="Times New Roman" w:hAnsi="Times New Roman" w:cs="Times New Roman"/>
        </w:rPr>
        <w:t xml:space="preserve">encarregadas da persecução penal </w:t>
      </w:r>
      <w:r w:rsidRPr="003A3653">
        <w:rPr>
          <w:rFonts w:ascii="Times New Roman" w:hAnsi="Times New Roman" w:cs="Times New Roman"/>
        </w:rPr>
        <w:t xml:space="preserve">sem autorização judicial. </w:t>
      </w:r>
      <w:r w:rsidR="007A2503" w:rsidRPr="003A3653">
        <w:rPr>
          <w:rFonts w:ascii="Times New Roman" w:hAnsi="Times New Roman" w:cs="Times New Roman"/>
        </w:rPr>
        <w:t>Decidiu</w:t>
      </w:r>
      <w:r w:rsidR="00F26DE7" w:rsidRPr="003A3653">
        <w:rPr>
          <w:rFonts w:ascii="Times New Roman" w:hAnsi="Times New Roman" w:cs="Times New Roman"/>
        </w:rPr>
        <w:t xml:space="preserve">-se </w:t>
      </w:r>
      <w:r w:rsidRPr="003A3653">
        <w:rPr>
          <w:rFonts w:ascii="Times New Roman" w:hAnsi="Times New Roman" w:cs="Times New Roman"/>
        </w:rPr>
        <w:t xml:space="preserve">que tal hipótese — </w:t>
      </w:r>
      <w:r w:rsidR="00F26DE7" w:rsidRPr="003A3653">
        <w:rPr>
          <w:rFonts w:ascii="Times New Roman" w:hAnsi="Times New Roman" w:cs="Times New Roman"/>
        </w:rPr>
        <w:t>requerimento de acesso aos RIFs</w:t>
      </w:r>
      <w:r w:rsidRPr="003A3653">
        <w:rPr>
          <w:rFonts w:ascii="Times New Roman" w:hAnsi="Times New Roman" w:cs="Times New Roman"/>
        </w:rPr>
        <w:t>, e não comunicação espontânea — não está abrangida pelo Tema 990 d</w:t>
      </w:r>
      <w:r w:rsidR="00F26DE7" w:rsidRPr="003A3653">
        <w:rPr>
          <w:rFonts w:ascii="Times New Roman" w:hAnsi="Times New Roman" w:cs="Times New Roman"/>
        </w:rPr>
        <w:t>e</w:t>
      </w:r>
      <w:r w:rsidRPr="003A3653">
        <w:rPr>
          <w:rFonts w:ascii="Times New Roman" w:hAnsi="Times New Roman" w:cs="Times New Roman"/>
        </w:rPr>
        <w:t xml:space="preserve"> </w:t>
      </w:r>
      <w:r w:rsidR="00F26DE7" w:rsidRPr="003A3653">
        <w:rPr>
          <w:rFonts w:ascii="Times New Roman" w:hAnsi="Times New Roman" w:cs="Times New Roman"/>
        </w:rPr>
        <w:t>R</w:t>
      </w:r>
      <w:r w:rsidRPr="003A3653">
        <w:rPr>
          <w:rFonts w:ascii="Times New Roman" w:hAnsi="Times New Roman" w:cs="Times New Roman"/>
        </w:rPr>
        <w:t xml:space="preserve">epercussão </w:t>
      </w:r>
      <w:r w:rsidR="00F26DE7" w:rsidRPr="003A3653">
        <w:rPr>
          <w:rFonts w:ascii="Times New Roman" w:hAnsi="Times New Roman" w:cs="Times New Roman"/>
        </w:rPr>
        <w:t>G</w:t>
      </w:r>
      <w:r w:rsidRPr="003A3653">
        <w:rPr>
          <w:rFonts w:ascii="Times New Roman" w:hAnsi="Times New Roman" w:cs="Times New Roman"/>
        </w:rPr>
        <w:t>eral, no qual o STF analisou exclusivamente o compartilhamento espontâneo de dados pela UIF e pela Receita Federal.</w:t>
      </w:r>
    </w:p>
    <w:p w14:paraId="15CF03D6" w14:textId="06B0B93E" w:rsidR="008B02EF" w:rsidRPr="003A3653" w:rsidRDefault="008B02EF" w:rsidP="003A3653">
      <w:pPr>
        <w:spacing w:line="360" w:lineRule="auto"/>
        <w:jc w:val="both"/>
        <w:rPr>
          <w:rFonts w:ascii="Times New Roman" w:hAnsi="Times New Roman" w:cs="Times New Roman"/>
        </w:rPr>
      </w:pPr>
      <w:r w:rsidRPr="003A3653">
        <w:rPr>
          <w:rFonts w:ascii="Times New Roman" w:hAnsi="Times New Roman" w:cs="Times New Roman"/>
        </w:rPr>
        <w:t>Segundo o STJ, quando produzidos a pedido do Ministério Público ou da Polícia, os RIFs configuram instrumento de quebra indireta d</w:t>
      </w:r>
      <w:r w:rsidR="00F26DE7" w:rsidRPr="003A3653">
        <w:rPr>
          <w:rFonts w:ascii="Times New Roman" w:hAnsi="Times New Roman" w:cs="Times New Roman"/>
        </w:rPr>
        <w:t>o</w:t>
      </w:r>
      <w:r w:rsidRPr="003A3653">
        <w:rPr>
          <w:rFonts w:ascii="Times New Roman" w:hAnsi="Times New Roman" w:cs="Times New Roman"/>
        </w:rPr>
        <w:t xml:space="preserve"> sigilo bancário e, portanto, exigem autorização judicial nos termos do art. 1º, § 4º, da LC nº 105/2001, diferentemente das comunicações espontâneas previstas no art. 15 da Lei nº 9.613/98.</w:t>
      </w:r>
    </w:p>
    <w:p w14:paraId="1872D85B" w14:textId="78BABA26" w:rsidR="00CE50DA" w:rsidRPr="003A3653" w:rsidRDefault="008B02EF" w:rsidP="003A3653">
      <w:pPr>
        <w:spacing w:line="360" w:lineRule="auto"/>
        <w:jc w:val="both"/>
        <w:rPr>
          <w:rFonts w:ascii="Times New Roman" w:hAnsi="Times New Roman" w:cs="Times New Roman"/>
        </w:rPr>
      </w:pPr>
      <w:r w:rsidRPr="003A3653">
        <w:rPr>
          <w:rFonts w:ascii="Times New Roman" w:hAnsi="Times New Roman" w:cs="Times New Roman"/>
        </w:rPr>
        <w:t xml:space="preserve">Inconformado, o Ministério Público Federal </w:t>
      </w:r>
      <w:r w:rsidR="000A75D5" w:rsidRPr="003A3653">
        <w:rPr>
          <w:rFonts w:ascii="Times New Roman" w:hAnsi="Times New Roman" w:cs="Times New Roman"/>
        </w:rPr>
        <w:t xml:space="preserve">(“MPF”) </w:t>
      </w:r>
      <w:r w:rsidRPr="003A3653">
        <w:rPr>
          <w:rFonts w:ascii="Times New Roman" w:hAnsi="Times New Roman" w:cs="Times New Roman"/>
        </w:rPr>
        <w:t xml:space="preserve">ajuizou a </w:t>
      </w:r>
      <w:r w:rsidR="007A2503" w:rsidRPr="003A3653">
        <w:rPr>
          <w:rFonts w:ascii="Times New Roman" w:hAnsi="Times New Roman" w:cs="Times New Roman"/>
        </w:rPr>
        <w:t xml:space="preserve">RCL </w:t>
      </w:r>
      <w:r w:rsidRPr="003A3653">
        <w:rPr>
          <w:rFonts w:ascii="Times New Roman" w:hAnsi="Times New Roman" w:cs="Times New Roman"/>
        </w:rPr>
        <w:t xml:space="preserve">nº 61.944 perante o </w:t>
      </w:r>
      <w:r w:rsidR="00B60F24" w:rsidRPr="003A3653">
        <w:rPr>
          <w:rFonts w:ascii="Times New Roman" w:hAnsi="Times New Roman" w:cs="Times New Roman"/>
        </w:rPr>
        <w:t>STF</w:t>
      </w:r>
      <w:r w:rsidRPr="003A3653">
        <w:rPr>
          <w:rFonts w:ascii="Times New Roman" w:hAnsi="Times New Roman" w:cs="Times New Roman"/>
        </w:rPr>
        <w:t xml:space="preserve">, alegando violação à autoridade do Tema 990, risco à eficácia da persecução penal e desrespeito às recomendações do </w:t>
      </w:r>
      <w:r w:rsidR="00CE50DA" w:rsidRPr="003A3653">
        <w:rPr>
          <w:rFonts w:ascii="Times New Roman" w:hAnsi="Times New Roman" w:cs="Times New Roman"/>
        </w:rPr>
        <w:t>GAFI</w:t>
      </w:r>
      <w:r w:rsidRPr="003A3653">
        <w:rPr>
          <w:rFonts w:ascii="Times New Roman" w:hAnsi="Times New Roman" w:cs="Times New Roman"/>
        </w:rPr>
        <w:t>. O ministro Cristiano Zanin, por decisão monocrática, acolheu a reclamação e cassou o acórdão do STJ</w:t>
      </w:r>
      <w:r w:rsidR="003C5C2B" w:rsidRPr="003A3653">
        <w:rPr>
          <w:rFonts w:ascii="Times New Roman" w:hAnsi="Times New Roman" w:cs="Times New Roman"/>
        </w:rPr>
        <w:t xml:space="preserve"> (DJe 20.03.2024)</w:t>
      </w:r>
      <w:r w:rsidR="00CE50DA" w:rsidRPr="003A3653">
        <w:rPr>
          <w:rFonts w:ascii="Times New Roman" w:hAnsi="Times New Roman" w:cs="Times New Roman"/>
        </w:rPr>
        <w:t>.</w:t>
      </w:r>
      <w:r w:rsidR="00520BA9" w:rsidRPr="003A3653">
        <w:rPr>
          <w:rFonts w:ascii="Times New Roman" w:hAnsi="Times New Roman" w:cs="Times New Roman"/>
        </w:rPr>
        <w:t xml:space="preserve"> </w:t>
      </w:r>
      <w:r w:rsidR="00520BA9" w:rsidRPr="003A3653">
        <w:rPr>
          <w:rFonts w:ascii="Times New Roman" w:hAnsi="Times New Roman" w:cs="Times New Roman"/>
        </w:rPr>
        <w:lastRenderedPageBreak/>
        <w:t>Posteriormente, a decisão foi confirmada por todos os ministros da 1ª Turma do STF</w:t>
      </w:r>
      <w:r w:rsidR="003C5C2B" w:rsidRPr="003A3653">
        <w:rPr>
          <w:rFonts w:ascii="Times New Roman" w:hAnsi="Times New Roman" w:cs="Times New Roman"/>
        </w:rPr>
        <w:t xml:space="preserve"> (DJe 28.05.2024)</w:t>
      </w:r>
      <w:r w:rsidR="00520BA9" w:rsidRPr="003A3653">
        <w:rPr>
          <w:rFonts w:ascii="Times New Roman" w:hAnsi="Times New Roman" w:cs="Times New Roman"/>
        </w:rPr>
        <w:t xml:space="preserve">. </w:t>
      </w:r>
    </w:p>
    <w:p w14:paraId="5F1D516C" w14:textId="77777777" w:rsidR="000A75D5" w:rsidRPr="003A3653" w:rsidRDefault="000A75D5" w:rsidP="003A3653">
      <w:pPr>
        <w:spacing w:line="360" w:lineRule="auto"/>
        <w:jc w:val="both"/>
        <w:rPr>
          <w:rFonts w:ascii="Times New Roman" w:hAnsi="Times New Roman" w:cs="Times New Roman"/>
        </w:rPr>
      </w:pPr>
    </w:p>
    <w:p w14:paraId="5B0D38F7" w14:textId="115B3D59" w:rsidR="00520BA9" w:rsidRPr="003A3653" w:rsidRDefault="00520BA9" w:rsidP="003A3653">
      <w:pPr>
        <w:pStyle w:val="PargrafodaLista"/>
        <w:numPr>
          <w:ilvl w:val="0"/>
          <w:numId w:val="1"/>
        </w:numPr>
        <w:spacing w:line="360" w:lineRule="auto"/>
        <w:ind w:left="284" w:hanging="284"/>
        <w:jc w:val="both"/>
        <w:rPr>
          <w:rFonts w:ascii="Times New Roman" w:hAnsi="Times New Roman" w:cs="Times New Roman"/>
          <w:b/>
          <w:bCs/>
        </w:rPr>
      </w:pPr>
      <w:r w:rsidRPr="003A3653">
        <w:rPr>
          <w:rFonts w:ascii="Times New Roman" w:hAnsi="Times New Roman" w:cs="Times New Roman"/>
          <w:b/>
          <w:bCs/>
        </w:rPr>
        <w:t xml:space="preserve">Tema 990: </w:t>
      </w:r>
      <w:r w:rsidR="00E6609B" w:rsidRPr="003A3653">
        <w:rPr>
          <w:rFonts w:ascii="Times New Roman" w:hAnsi="Times New Roman" w:cs="Times New Roman"/>
          <w:b/>
          <w:bCs/>
        </w:rPr>
        <w:t>d</w:t>
      </w:r>
      <w:r w:rsidRPr="003A3653">
        <w:rPr>
          <w:rFonts w:ascii="Times New Roman" w:hAnsi="Times New Roman" w:cs="Times New Roman"/>
          <w:b/>
          <w:bCs/>
        </w:rPr>
        <w:t>o que</w:t>
      </w:r>
      <w:r w:rsidR="00E6609B" w:rsidRPr="003A3653">
        <w:rPr>
          <w:rFonts w:ascii="Times New Roman" w:hAnsi="Times New Roman" w:cs="Times New Roman"/>
          <w:b/>
          <w:bCs/>
        </w:rPr>
        <w:t xml:space="preserve"> tratava e o que, de</w:t>
      </w:r>
      <w:r w:rsidRPr="003A3653">
        <w:rPr>
          <w:rFonts w:ascii="Times New Roman" w:hAnsi="Times New Roman" w:cs="Times New Roman"/>
          <w:b/>
          <w:bCs/>
        </w:rPr>
        <w:t xml:space="preserve"> fato, foi decidido?</w:t>
      </w:r>
    </w:p>
    <w:p w14:paraId="710F4D18" w14:textId="77777777" w:rsidR="00707107" w:rsidRPr="003A3653" w:rsidRDefault="00707107" w:rsidP="003A3653">
      <w:pPr>
        <w:pStyle w:val="PargrafodaLista"/>
        <w:spacing w:line="360" w:lineRule="auto"/>
        <w:jc w:val="both"/>
        <w:rPr>
          <w:rFonts w:ascii="Times New Roman" w:hAnsi="Times New Roman" w:cs="Times New Roman"/>
          <w:b/>
          <w:bCs/>
        </w:rPr>
      </w:pPr>
    </w:p>
    <w:p w14:paraId="254F5185" w14:textId="37709DA1" w:rsidR="00520BA9" w:rsidRPr="003A3653" w:rsidRDefault="00520BA9" w:rsidP="003A3653">
      <w:pPr>
        <w:spacing w:line="360" w:lineRule="auto"/>
        <w:jc w:val="both"/>
        <w:rPr>
          <w:rFonts w:ascii="Times New Roman" w:hAnsi="Times New Roman" w:cs="Times New Roman"/>
        </w:rPr>
      </w:pPr>
      <w:r w:rsidRPr="003A3653">
        <w:rPr>
          <w:rFonts w:ascii="Times New Roman" w:hAnsi="Times New Roman" w:cs="Times New Roman"/>
        </w:rPr>
        <w:t xml:space="preserve">A análise da </w:t>
      </w:r>
      <w:r w:rsidR="000A75D5" w:rsidRPr="003A3653">
        <w:rPr>
          <w:rFonts w:ascii="Times New Roman" w:hAnsi="Times New Roman" w:cs="Times New Roman"/>
        </w:rPr>
        <w:t xml:space="preserve">RCL </w:t>
      </w:r>
      <w:r w:rsidRPr="003A3653">
        <w:rPr>
          <w:rFonts w:ascii="Times New Roman" w:hAnsi="Times New Roman" w:cs="Times New Roman"/>
        </w:rPr>
        <w:t xml:space="preserve">nº 61.944 exige como passo preliminar a correta </w:t>
      </w:r>
      <w:r w:rsidR="000A75D5" w:rsidRPr="003A3653">
        <w:rPr>
          <w:rFonts w:ascii="Times New Roman" w:hAnsi="Times New Roman" w:cs="Times New Roman"/>
        </w:rPr>
        <w:t xml:space="preserve">avaliação do objeto do </w:t>
      </w:r>
      <w:r w:rsidRPr="003A3653">
        <w:rPr>
          <w:rFonts w:ascii="Times New Roman" w:hAnsi="Times New Roman" w:cs="Times New Roman"/>
        </w:rPr>
        <w:t>Tema 990 d</w:t>
      </w:r>
      <w:r w:rsidR="000A75D5" w:rsidRPr="003A3653">
        <w:rPr>
          <w:rFonts w:ascii="Times New Roman" w:hAnsi="Times New Roman" w:cs="Times New Roman"/>
        </w:rPr>
        <w:t>e</w:t>
      </w:r>
      <w:r w:rsidRPr="003A3653">
        <w:rPr>
          <w:rFonts w:ascii="Times New Roman" w:hAnsi="Times New Roman" w:cs="Times New Roman"/>
        </w:rPr>
        <w:t xml:space="preserve"> </w:t>
      </w:r>
      <w:r w:rsidR="000A75D5" w:rsidRPr="003A3653">
        <w:rPr>
          <w:rFonts w:ascii="Times New Roman" w:hAnsi="Times New Roman" w:cs="Times New Roman"/>
        </w:rPr>
        <w:t>R</w:t>
      </w:r>
      <w:r w:rsidRPr="003A3653">
        <w:rPr>
          <w:rFonts w:ascii="Times New Roman" w:hAnsi="Times New Roman" w:cs="Times New Roman"/>
        </w:rPr>
        <w:t xml:space="preserve">epercussão </w:t>
      </w:r>
      <w:r w:rsidR="000A75D5" w:rsidRPr="003A3653">
        <w:rPr>
          <w:rFonts w:ascii="Times New Roman" w:hAnsi="Times New Roman" w:cs="Times New Roman"/>
        </w:rPr>
        <w:t>G</w:t>
      </w:r>
      <w:r w:rsidRPr="003A3653">
        <w:rPr>
          <w:rFonts w:ascii="Times New Roman" w:hAnsi="Times New Roman" w:cs="Times New Roman"/>
        </w:rPr>
        <w:t xml:space="preserve">eral. </w:t>
      </w:r>
    </w:p>
    <w:p w14:paraId="75B5DD77" w14:textId="5757EEE5" w:rsidR="007E5F49" w:rsidRPr="003A3653" w:rsidRDefault="007E5F49" w:rsidP="003A3653">
      <w:pPr>
        <w:spacing w:line="360" w:lineRule="auto"/>
        <w:jc w:val="both"/>
        <w:rPr>
          <w:rFonts w:ascii="Times New Roman" w:hAnsi="Times New Roman" w:cs="Times New Roman"/>
        </w:rPr>
      </w:pPr>
      <w:r w:rsidRPr="003A3653">
        <w:rPr>
          <w:rFonts w:ascii="Times New Roman" w:hAnsi="Times New Roman" w:cs="Times New Roman"/>
        </w:rPr>
        <w:t xml:space="preserve">O Tema </w:t>
      </w:r>
      <w:r w:rsidR="000A75D5" w:rsidRPr="003A3653">
        <w:rPr>
          <w:rFonts w:ascii="Times New Roman" w:hAnsi="Times New Roman" w:cs="Times New Roman"/>
        </w:rPr>
        <w:t xml:space="preserve">se </w:t>
      </w:r>
      <w:r w:rsidRPr="003A3653">
        <w:rPr>
          <w:rFonts w:ascii="Times New Roman" w:hAnsi="Times New Roman" w:cs="Times New Roman"/>
        </w:rPr>
        <w:t xml:space="preserve">originou do Recurso Extraordinário nº 1.055.941/SP, interposto pelo </w:t>
      </w:r>
      <w:r w:rsidR="000A75D5" w:rsidRPr="003A3653">
        <w:rPr>
          <w:rFonts w:ascii="Times New Roman" w:hAnsi="Times New Roman" w:cs="Times New Roman"/>
        </w:rPr>
        <w:t>MPF</w:t>
      </w:r>
      <w:r w:rsidRPr="003A3653">
        <w:rPr>
          <w:rFonts w:ascii="Times New Roman" w:hAnsi="Times New Roman" w:cs="Times New Roman"/>
        </w:rPr>
        <w:t>, e teve como questão central a licitude do compartilhamento, para fins penais, de dados bancários e fiscais obtidos pela Receita Federal no exercício de sua função fiscalizatória, sem necessidade de autorização judicial.</w:t>
      </w:r>
    </w:p>
    <w:p w14:paraId="5CFE088D" w14:textId="0C4CC1D7" w:rsidR="007E5F49" w:rsidRPr="003A3653" w:rsidRDefault="007E5F49" w:rsidP="003A3653">
      <w:pPr>
        <w:spacing w:line="360" w:lineRule="auto"/>
        <w:jc w:val="both"/>
        <w:rPr>
          <w:rFonts w:ascii="Times New Roman" w:hAnsi="Times New Roman" w:cs="Times New Roman"/>
        </w:rPr>
      </w:pPr>
      <w:r w:rsidRPr="003A3653">
        <w:rPr>
          <w:rFonts w:ascii="Times New Roman" w:hAnsi="Times New Roman" w:cs="Times New Roman"/>
        </w:rPr>
        <w:t xml:space="preserve">No caso, a Receita acessou os dados bancários dos contribuintes durante procedimento administrativo, com base na LC nº 105/2001, e remeteu </w:t>
      </w:r>
      <w:r w:rsidR="00F26DE7" w:rsidRPr="003A3653">
        <w:rPr>
          <w:rFonts w:ascii="Times New Roman" w:hAnsi="Times New Roman" w:cs="Times New Roman"/>
        </w:rPr>
        <w:t xml:space="preserve">a íntegra do procedimento fiscal, contendo os dados bancários, </w:t>
      </w:r>
      <w:r w:rsidRPr="003A3653">
        <w:rPr>
          <w:rFonts w:ascii="Times New Roman" w:hAnsi="Times New Roman" w:cs="Times New Roman"/>
        </w:rPr>
        <w:t>ao Ministério Público, que ofereceu denúncia por crime tributário. O TRF-3 anulou a condenação, ao entender que tais dados só poderiam ser usados penalmente com autorização judicial. O RExt discutiu, então, se o compartilhamento direto entre Receita e MP, sem intervenção judicial, seria constitucional.</w:t>
      </w:r>
    </w:p>
    <w:p w14:paraId="189AFFD6" w14:textId="78420059" w:rsidR="007E5F49" w:rsidRPr="003A3653" w:rsidRDefault="007E5F49" w:rsidP="003A3653">
      <w:pPr>
        <w:spacing w:line="360" w:lineRule="auto"/>
        <w:jc w:val="both"/>
        <w:rPr>
          <w:rFonts w:ascii="Times New Roman" w:hAnsi="Times New Roman" w:cs="Times New Roman"/>
        </w:rPr>
      </w:pPr>
      <w:r w:rsidRPr="003A3653">
        <w:rPr>
          <w:rFonts w:ascii="Times New Roman" w:hAnsi="Times New Roman" w:cs="Times New Roman"/>
        </w:rPr>
        <w:t>Durante a tramitação do RExt, o então presidente do STF, Ministro Dias Toffoli, proferiu decisão monocrática em medida cautelar requerida por Flávio Bolsonaro, que não era parte no processo, para suspender investigações em curso com base em dados compartilhados sem autorização judicial por Receita, Banco Central, CVM e COAF.</w:t>
      </w:r>
    </w:p>
    <w:p w14:paraId="6929A45C" w14:textId="2AF28B84" w:rsidR="00CE5221" w:rsidRPr="003A3653" w:rsidRDefault="00CE5221" w:rsidP="003A3653">
      <w:pPr>
        <w:spacing w:line="360" w:lineRule="auto"/>
        <w:jc w:val="both"/>
        <w:rPr>
          <w:rFonts w:ascii="Times New Roman" w:hAnsi="Times New Roman" w:cs="Times New Roman"/>
        </w:rPr>
      </w:pPr>
      <w:r w:rsidRPr="003A3653">
        <w:rPr>
          <w:rFonts w:ascii="Times New Roman" w:hAnsi="Times New Roman" w:cs="Times New Roman"/>
        </w:rPr>
        <w:t xml:space="preserve">Todavia, </w:t>
      </w:r>
      <w:r w:rsidR="006C21C3" w:rsidRPr="003A3653">
        <w:rPr>
          <w:rFonts w:ascii="Times New Roman" w:hAnsi="Times New Roman" w:cs="Times New Roman"/>
        </w:rPr>
        <w:t>a decisão do Min. Dias Toffoli em</w:t>
      </w:r>
      <w:r w:rsidRPr="003A3653">
        <w:rPr>
          <w:rFonts w:ascii="Times New Roman" w:hAnsi="Times New Roman" w:cs="Times New Roman"/>
        </w:rPr>
        <w:t xml:space="preserve"> nenhum momento tratou </w:t>
      </w:r>
      <w:r w:rsidR="00F26DE7" w:rsidRPr="003A3653">
        <w:rPr>
          <w:rFonts w:ascii="Times New Roman" w:hAnsi="Times New Roman" w:cs="Times New Roman"/>
        </w:rPr>
        <w:t xml:space="preserve">do requerimento direto de acesso a </w:t>
      </w:r>
      <w:r w:rsidRPr="003A3653">
        <w:rPr>
          <w:rFonts w:ascii="Times New Roman" w:hAnsi="Times New Roman" w:cs="Times New Roman"/>
        </w:rPr>
        <w:t>RIFs por parte do Ministério Público ou da Polícia. O foco foi exclusivo no compartilhamento espontâneo de dados por órgãos administrativos com o MP, sem prévia autorização judicial.</w:t>
      </w:r>
    </w:p>
    <w:p w14:paraId="11DF9109" w14:textId="40757E93" w:rsidR="006C21C3" w:rsidRPr="003A3653" w:rsidRDefault="006C21C3" w:rsidP="003A3653">
      <w:pPr>
        <w:spacing w:line="360" w:lineRule="auto"/>
        <w:jc w:val="both"/>
        <w:rPr>
          <w:rFonts w:ascii="Times New Roman" w:hAnsi="Times New Roman" w:cs="Times New Roman"/>
        </w:rPr>
      </w:pPr>
      <w:r w:rsidRPr="003A3653">
        <w:rPr>
          <w:rFonts w:ascii="Times New Roman" w:hAnsi="Times New Roman" w:cs="Times New Roman"/>
        </w:rPr>
        <w:t xml:space="preserve">Duas observações </w:t>
      </w:r>
      <w:r w:rsidR="000A75D5" w:rsidRPr="003A3653">
        <w:rPr>
          <w:rFonts w:ascii="Times New Roman" w:hAnsi="Times New Roman" w:cs="Times New Roman"/>
        </w:rPr>
        <w:t xml:space="preserve">promovem </w:t>
      </w:r>
      <w:r w:rsidRPr="003A3653">
        <w:rPr>
          <w:rFonts w:ascii="Times New Roman" w:hAnsi="Times New Roman" w:cs="Times New Roman"/>
        </w:rPr>
        <w:t xml:space="preserve">uma leitura </w:t>
      </w:r>
      <w:r w:rsidR="000A75D5" w:rsidRPr="003A3653">
        <w:rPr>
          <w:rFonts w:ascii="Times New Roman" w:hAnsi="Times New Roman" w:cs="Times New Roman"/>
        </w:rPr>
        <w:t xml:space="preserve">acertada </w:t>
      </w:r>
      <w:r w:rsidRPr="003A3653">
        <w:rPr>
          <w:rFonts w:ascii="Times New Roman" w:hAnsi="Times New Roman" w:cs="Times New Roman"/>
        </w:rPr>
        <w:t>do que efetivamente foi decidido no julgamento do Tema 990 pelo STF</w:t>
      </w:r>
      <w:r w:rsidR="000A75D5" w:rsidRPr="003A3653">
        <w:rPr>
          <w:rFonts w:ascii="Times New Roman" w:hAnsi="Times New Roman" w:cs="Times New Roman"/>
        </w:rPr>
        <w:t>:</w:t>
      </w:r>
    </w:p>
    <w:p w14:paraId="0542C3DF" w14:textId="74B98F82" w:rsidR="006624C4" w:rsidRPr="003A3653" w:rsidRDefault="006624C4" w:rsidP="003A3653">
      <w:pPr>
        <w:spacing w:line="360" w:lineRule="auto"/>
        <w:jc w:val="both"/>
        <w:rPr>
          <w:rFonts w:ascii="Times New Roman" w:hAnsi="Times New Roman" w:cs="Times New Roman"/>
        </w:rPr>
      </w:pPr>
      <w:r w:rsidRPr="003A3653">
        <w:rPr>
          <w:rFonts w:ascii="Times New Roman" w:hAnsi="Times New Roman" w:cs="Times New Roman"/>
        </w:rPr>
        <w:t>Primeiro, a ampliação do escopo do tema foi objeto de crítica de ministros</w:t>
      </w:r>
      <w:r w:rsidR="00712283">
        <w:rPr>
          <w:rFonts w:ascii="Times New Roman" w:hAnsi="Times New Roman" w:cs="Times New Roman"/>
        </w:rPr>
        <w:t>, que</w:t>
      </w:r>
      <w:r w:rsidRPr="003A3653">
        <w:rPr>
          <w:rFonts w:ascii="Times New Roman" w:hAnsi="Times New Roman" w:cs="Times New Roman"/>
        </w:rPr>
        <w:t xml:space="preserve"> destacaram a ausência de prequestionamento e de contraditório sobre os novos tópicos inseridos na discussão</w:t>
      </w:r>
      <w:r w:rsidR="000A19FA" w:rsidRPr="003A3653">
        <w:rPr>
          <w:rFonts w:ascii="Times New Roman" w:hAnsi="Times New Roman" w:cs="Times New Roman"/>
        </w:rPr>
        <w:t xml:space="preserve"> nas instâncias de origem</w:t>
      </w:r>
      <w:r w:rsidRPr="003A3653">
        <w:rPr>
          <w:rFonts w:ascii="Times New Roman" w:hAnsi="Times New Roman" w:cs="Times New Roman"/>
        </w:rPr>
        <w:t>.</w:t>
      </w:r>
      <w:r w:rsidR="000A19FA" w:rsidRPr="003A3653">
        <w:rPr>
          <w:rFonts w:ascii="Times New Roman" w:hAnsi="Times New Roman" w:cs="Times New Roman"/>
        </w:rPr>
        <w:t xml:space="preserve"> </w:t>
      </w:r>
      <w:r w:rsidRPr="003A3653">
        <w:rPr>
          <w:rFonts w:ascii="Times New Roman" w:hAnsi="Times New Roman" w:cs="Times New Roman"/>
        </w:rPr>
        <w:t xml:space="preserve">A Ministra Cármen Lúcia, inclusive, </w:t>
      </w:r>
      <w:r w:rsidRPr="003A3653">
        <w:rPr>
          <w:rFonts w:ascii="Times New Roman" w:hAnsi="Times New Roman" w:cs="Times New Roman"/>
        </w:rPr>
        <w:lastRenderedPageBreak/>
        <w:t>delimitou seu voto no julgamento do Tema 990 exclusivamente à hipótese de compartilhamento de dados pela Receita Federal, no exercício regular de sua função fiscalizatória.</w:t>
      </w:r>
    </w:p>
    <w:p w14:paraId="6D6100CD" w14:textId="06679E06" w:rsidR="006624C4" w:rsidRPr="003A3653" w:rsidRDefault="006624C4" w:rsidP="003A3653">
      <w:pPr>
        <w:spacing w:line="360" w:lineRule="auto"/>
        <w:jc w:val="both"/>
        <w:rPr>
          <w:rFonts w:ascii="Times New Roman" w:hAnsi="Times New Roman" w:cs="Times New Roman"/>
        </w:rPr>
      </w:pPr>
      <w:r w:rsidRPr="003A3653">
        <w:rPr>
          <w:rFonts w:ascii="Times New Roman" w:hAnsi="Times New Roman" w:cs="Times New Roman"/>
        </w:rPr>
        <w:t xml:space="preserve">Essa delimitação é relevante não apenas por restringir o alcance da decisão, mas também porque evidencia que o Supremo </w:t>
      </w:r>
      <w:r w:rsidR="00F26DE7" w:rsidRPr="003A3653">
        <w:rPr>
          <w:rFonts w:ascii="Times New Roman" w:hAnsi="Times New Roman" w:cs="Times New Roman"/>
        </w:rPr>
        <w:t xml:space="preserve">não </w:t>
      </w:r>
      <w:r w:rsidRPr="003A3653">
        <w:rPr>
          <w:rFonts w:ascii="Times New Roman" w:hAnsi="Times New Roman" w:cs="Times New Roman"/>
        </w:rPr>
        <w:t xml:space="preserve">discutiu com profundidade as diferenças estruturais entre os órgãos envolvidos. Não houve qualquer amadurecimento </w:t>
      </w:r>
      <w:r w:rsidR="003C5C2B" w:rsidRPr="003A3653">
        <w:rPr>
          <w:rFonts w:ascii="Times New Roman" w:hAnsi="Times New Roman" w:cs="Times New Roman"/>
        </w:rPr>
        <w:t xml:space="preserve">do debate </w:t>
      </w:r>
      <w:r w:rsidRPr="003A3653">
        <w:rPr>
          <w:rFonts w:ascii="Times New Roman" w:hAnsi="Times New Roman" w:cs="Times New Roman"/>
        </w:rPr>
        <w:t>sobre se o COAF</w:t>
      </w:r>
      <w:r w:rsidR="003C5C2B" w:rsidRPr="003A3653">
        <w:rPr>
          <w:rFonts w:ascii="Times New Roman" w:hAnsi="Times New Roman" w:cs="Times New Roman"/>
        </w:rPr>
        <w:t>,</w:t>
      </w:r>
      <w:r w:rsidRPr="003A3653">
        <w:rPr>
          <w:rFonts w:ascii="Times New Roman" w:hAnsi="Times New Roman" w:cs="Times New Roman"/>
        </w:rPr>
        <w:t xml:space="preserve"> órgão de inteligência, poderia ser equiparado funcionalmente à Receita Federal para fins de compartilhamento ou repasse de informações sensíveis.</w:t>
      </w:r>
    </w:p>
    <w:p w14:paraId="4A9E1C29" w14:textId="006E5F3F" w:rsidR="006624C4" w:rsidRPr="003A3653" w:rsidRDefault="006624C4" w:rsidP="003A3653">
      <w:pPr>
        <w:spacing w:line="360" w:lineRule="auto"/>
        <w:jc w:val="both"/>
        <w:rPr>
          <w:rFonts w:ascii="Times New Roman" w:hAnsi="Times New Roman" w:cs="Times New Roman"/>
        </w:rPr>
      </w:pPr>
      <w:r w:rsidRPr="003A3653">
        <w:rPr>
          <w:rFonts w:ascii="Times New Roman" w:hAnsi="Times New Roman" w:cs="Times New Roman"/>
        </w:rPr>
        <w:t xml:space="preserve">Segundo, se já havia resistência explícita à ampliação do escopo para outros órgãos — como o COAF —, a leitura atenta dos votos revela que </w:t>
      </w:r>
      <w:r w:rsidR="00F26DE7" w:rsidRPr="003A3653">
        <w:rPr>
          <w:rFonts w:ascii="Times New Roman" w:hAnsi="Times New Roman" w:cs="Times New Roman"/>
        </w:rPr>
        <w:t>a avaliação d</w:t>
      </w:r>
      <w:r w:rsidRPr="003A3653">
        <w:rPr>
          <w:rFonts w:ascii="Times New Roman" w:hAnsi="Times New Roman" w:cs="Times New Roman"/>
        </w:rPr>
        <w:t xml:space="preserve">essa matéria foi superficial e não </w:t>
      </w:r>
      <w:r w:rsidR="009B1481" w:rsidRPr="003A3653">
        <w:rPr>
          <w:rFonts w:ascii="Times New Roman" w:hAnsi="Times New Roman" w:cs="Times New Roman"/>
        </w:rPr>
        <w:t>amadurecida</w:t>
      </w:r>
      <w:r w:rsidRPr="003A3653">
        <w:rPr>
          <w:rFonts w:ascii="Times New Roman" w:hAnsi="Times New Roman" w:cs="Times New Roman"/>
        </w:rPr>
        <w:t xml:space="preserve">. </w:t>
      </w:r>
    </w:p>
    <w:p w14:paraId="3CC495D4" w14:textId="18A318DC" w:rsidR="006624C4" w:rsidRPr="003A3653" w:rsidRDefault="006624C4" w:rsidP="003A3653">
      <w:pPr>
        <w:spacing w:line="360" w:lineRule="auto"/>
        <w:jc w:val="both"/>
        <w:rPr>
          <w:rFonts w:ascii="Times New Roman" w:hAnsi="Times New Roman" w:cs="Times New Roman"/>
        </w:rPr>
      </w:pPr>
      <w:r w:rsidRPr="003A3653">
        <w:rPr>
          <w:rFonts w:ascii="Times New Roman" w:hAnsi="Times New Roman" w:cs="Times New Roman"/>
        </w:rPr>
        <w:t xml:space="preserve">Como consequência, o Supremo não enfrentou questões práticas recorrentes que </w:t>
      </w:r>
      <w:r w:rsidR="009B1481" w:rsidRPr="003A3653">
        <w:rPr>
          <w:rFonts w:ascii="Times New Roman" w:hAnsi="Times New Roman" w:cs="Times New Roman"/>
        </w:rPr>
        <w:t xml:space="preserve">deveriam </w:t>
      </w:r>
      <w:r w:rsidRPr="003A3653">
        <w:rPr>
          <w:rFonts w:ascii="Times New Roman" w:hAnsi="Times New Roman" w:cs="Times New Roman"/>
        </w:rPr>
        <w:t xml:space="preserve">ter sido </w:t>
      </w:r>
      <w:r w:rsidR="009B1481" w:rsidRPr="003A3653">
        <w:rPr>
          <w:rFonts w:ascii="Times New Roman" w:hAnsi="Times New Roman" w:cs="Times New Roman"/>
        </w:rPr>
        <w:t>enfrentadas</w:t>
      </w:r>
      <w:r w:rsidRPr="003A3653">
        <w:rPr>
          <w:rFonts w:ascii="Times New Roman" w:hAnsi="Times New Roman" w:cs="Times New Roman"/>
        </w:rPr>
        <w:t xml:space="preserve">, como </w:t>
      </w:r>
      <w:r w:rsidR="009B1481" w:rsidRPr="003A3653">
        <w:rPr>
          <w:rFonts w:ascii="Times New Roman" w:hAnsi="Times New Roman" w:cs="Times New Roman"/>
        </w:rPr>
        <w:t>o</w:t>
      </w:r>
      <w:r w:rsidRPr="003A3653">
        <w:rPr>
          <w:rFonts w:ascii="Times New Roman" w:hAnsi="Times New Roman" w:cs="Times New Roman"/>
        </w:rPr>
        <w:t xml:space="preserve"> </w:t>
      </w:r>
      <w:r w:rsidR="009B1481" w:rsidRPr="003A3653">
        <w:rPr>
          <w:rFonts w:ascii="Times New Roman" w:hAnsi="Times New Roman" w:cs="Times New Roman"/>
        </w:rPr>
        <w:t xml:space="preserve">requerimento direto, sem autorização judicial, de acesso aos </w:t>
      </w:r>
      <w:r w:rsidRPr="003A3653">
        <w:rPr>
          <w:rFonts w:ascii="Times New Roman" w:hAnsi="Times New Roman" w:cs="Times New Roman"/>
        </w:rPr>
        <w:t xml:space="preserve">RIFs por autoridades de persecução penal. Essa omissão, longe de ser irrelevante, converteu-se na principal fonte de controvérsia na aplicação do precedente — uma verdadeira pedra no sapato do </w:t>
      </w:r>
      <w:r w:rsidR="00B60F24" w:rsidRPr="003A3653">
        <w:rPr>
          <w:rFonts w:ascii="Times New Roman" w:hAnsi="Times New Roman" w:cs="Times New Roman"/>
        </w:rPr>
        <w:t>STF</w:t>
      </w:r>
      <w:r w:rsidRPr="003A3653">
        <w:rPr>
          <w:rFonts w:ascii="Times New Roman" w:hAnsi="Times New Roman" w:cs="Times New Roman"/>
        </w:rPr>
        <w:t xml:space="preserve">. </w:t>
      </w:r>
    </w:p>
    <w:p w14:paraId="6D0103CF" w14:textId="66805FB3" w:rsidR="00347932" w:rsidRPr="003A3653" w:rsidRDefault="003C5C2B" w:rsidP="003A3653">
      <w:pPr>
        <w:spacing w:line="360" w:lineRule="auto"/>
        <w:jc w:val="both"/>
        <w:rPr>
          <w:rFonts w:ascii="Times New Roman" w:hAnsi="Times New Roman" w:cs="Times New Roman"/>
        </w:rPr>
      </w:pPr>
      <w:r w:rsidRPr="003A3653">
        <w:rPr>
          <w:rFonts w:ascii="Times New Roman" w:hAnsi="Times New Roman" w:cs="Times New Roman"/>
        </w:rPr>
        <w:t>N</w:t>
      </w:r>
      <w:r w:rsidR="00347932" w:rsidRPr="003A3653">
        <w:rPr>
          <w:rFonts w:ascii="Times New Roman" w:hAnsi="Times New Roman" w:cs="Times New Roman"/>
        </w:rPr>
        <w:t xml:space="preserve">a formulação final da tese fixada, o Supremo </w:t>
      </w:r>
      <w:r w:rsidRPr="003A3653">
        <w:rPr>
          <w:rFonts w:ascii="Times New Roman" w:hAnsi="Times New Roman" w:cs="Times New Roman"/>
        </w:rPr>
        <w:t xml:space="preserve">deu à conclusão </w:t>
      </w:r>
      <w:r w:rsidR="00347932" w:rsidRPr="003A3653">
        <w:rPr>
          <w:rFonts w:ascii="Times New Roman" w:hAnsi="Times New Roman" w:cs="Times New Roman"/>
        </w:rPr>
        <w:t>a seguinte redação:</w:t>
      </w:r>
    </w:p>
    <w:p w14:paraId="5AFBFC68" w14:textId="77777777" w:rsidR="00347932" w:rsidRDefault="00347932" w:rsidP="003A46EA">
      <w:pPr>
        <w:spacing w:line="240" w:lineRule="auto"/>
        <w:ind w:left="1701"/>
        <w:jc w:val="both"/>
        <w:rPr>
          <w:rFonts w:ascii="Times New Roman" w:hAnsi="Times New Roman" w:cs="Times New Roman"/>
          <w:sz w:val="22"/>
          <w:szCs w:val="22"/>
        </w:rPr>
      </w:pPr>
      <w:r w:rsidRPr="008D69A3">
        <w:rPr>
          <w:rFonts w:ascii="Times New Roman" w:hAnsi="Times New Roman" w:cs="Times New Roman"/>
          <w:sz w:val="22"/>
          <w:szCs w:val="22"/>
        </w:rPr>
        <w:t>“É constitucional o compartilhamento dos relatórios de inteligência financeira da UIF e da íntegra do procedimento fiscalizatório da Receita Federal do Brasil — em que se define o lançamento do tributo — com os órgãos de persecução penal para fins criminais, sem prévia autorização judicial [...]”.</w:t>
      </w:r>
    </w:p>
    <w:p w14:paraId="07F4DD80" w14:textId="77777777" w:rsidR="003810B2" w:rsidRPr="008D69A3" w:rsidRDefault="003810B2" w:rsidP="003A46EA">
      <w:pPr>
        <w:spacing w:line="240" w:lineRule="auto"/>
        <w:ind w:left="1701"/>
        <w:jc w:val="both"/>
        <w:rPr>
          <w:rFonts w:ascii="Times New Roman" w:hAnsi="Times New Roman" w:cs="Times New Roman"/>
          <w:sz w:val="22"/>
          <w:szCs w:val="22"/>
        </w:rPr>
      </w:pPr>
    </w:p>
    <w:p w14:paraId="1E915469" w14:textId="7937E9A1" w:rsidR="00A265BB" w:rsidRPr="003A3653" w:rsidRDefault="00A265BB" w:rsidP="003A3653">
      <w:pPr>
        <w:spacing w:line="360" w:lineRule="auto"/>
        <w:jc w:val="both"/>
        <w:rPr>
          <w:rFonts w:ascii="Times New Roman" w:hAnsi="Times New Roman" w:cs="Times New Roman"/>
        </w:rPr>
      </w:pPr>
      <w:r w:rsidRPr="003A3653">
        <w:rPr>
          <w:rFonts w:ascii="Times New Roman" w:hAnsi="Times New Roman" w:cs="Times New Roman"/>
        </w:rPr>
        <w:t>Contudo, o texto da tese não pode ser lido como carta branca para toda e qualquer forma de acesso a dados financeiros</w:t>
      </w:r>
      <w:r w:rsidR="006E5B00" w:rsidRPr="003A3653">
        <w:rPr>
          <w:rFonts w:ascii="Times New Roman" w:hAnsi="Times New Roman" w:cs="Times New Roman"/>
        </w:rPr>
        <w:t xml:space="preserve"> — até porque não é o que ele diz, tanto que se limita em dizer que é constitucional o compartilhamento, sem maior detalhamento</w:t>
      </w:r>
      <w:r w:rsidRPr="003A3653">
        <w:rPr>
          <w:rFonts w:ascii="Times New Roman" w:hAnsi="Times New Roman" w:cs="Times New Roman"/>
        </w:rPr>
        <w:t xml:space="preserve">. Como demonstrado, o Supremo não enfrentou — nem técnica, nem juridicamente — a hipótese </w:t>
      </w:r>
      <w:r w:rsidR="009B1481" w:rsidRPr="003A3653">
        <w:rPr>
          <w:rFonts w:ascii="Times New Roman" w:hAnsi="Times New Roman" w:cs="Times New Roman"/>
        </w:rPr>
        <w:t xml:space="preserve">do requerimento direto de acesso aos </w:t>
      </w:r>
      <w:r w:rsidRPr="003A3653">
        <w:rPr>
          <w:rFonts w:ascii="Times New Roman" w:hAnsi="Times New Roman" w:cs="Times New Roman"/>
        </w:rPr>
        <w:t>RIFs por autoridades de persecução penal.</w:t>
      </w:r>
    </w:p>
    <w:p w14:paraId="5B9823A8" w14:textId="77777777" w:rsidR="000A19FA" w:rsidRPr="003A3653" w:rsidRDefault="000A19FA" w:rsidP="003A3653">
      <w:pPr>
        <w:spacing w:line="360" w:lineRule="auto"/>
        <w:jc w:val="both"/>
        <w:rPr>
          <w:rFonts w:ascii="Times New Roman" w:hAnsi="Times New Roman" w:cs="Times New Roman"/>
        </w:rPr>
      </w:pPr>
    </w:p>
    <w:p w14:paraId="551097ED" w14:textId="41A57732" w:rsidR="00707107" w:rsidRPr="003A3653" w:rsidRDefault="00707107" w:rsidP="003A3653">
      <w:pPr>
        <w:spacing w:line="360" w:lineRule="auto"/>
        <w:jc w:val="both"/>
        <w:rPr>
          <w:rFonts w:ascii="Times New Roman" w:hAnsi="Times New Roman" w:cs="Times New Roman"/>
          <w:b/>
          <w:bCs/>
        </w:rPr>
      </w:pPr>
      <w:r w:rsidRPr="003A3653">
        <w:rPr>
          <w:rFonts w:ascii="Times New Roman" w:hAnsi="Times New Roman" w:cs="Times New Roman"/>
          <w:b/>
          <w:bCs/>
        </w:rPr>
        <w:t>3. A Reclamação Constitucional nº 61.944 e sua inadmissibilidade</w:t>
      </w:r>
      <w:r w:rsidR="009B519B" w:rsidRPr="003A3653">
        <w:rPr>
          <w:rFonts w:ascii="Times New Roman" w:hAnsi="Times New Roman" w:cs="Times New Roman"/>
          <w:b/>
          <w:bCs/>
        </w:rPr>
        <w:t>:</w:t>
      </w:r>
    </w:p>
    <w:p w14:paraId="4A84B030" w14:textId="77777777" w:rsidR="002D48EA" w:rsidRPr="003A3653" w:rsidRDefault="002D48EA" w:rsidP="003A3653">
      <w:pPr>
        <w:spacing w:line="360" w:lineRule="auto"/>
        <w:jc w:val="both"/>
        <w:rPr>
          <w:rFonts w:ascii="Times New Roman" w:hAnsi="Times New Roman" w:cs="Times New Roman"/>
          <w:b/>
          <w:bCs/>
        </w:rPr>
      </w:pPr>
    </w:p>
    <w:p w14:paraId="19A64915" w14:textId="7A1A0E6E" w:rsidR="00A64779" w:rsidRPr="003A3653" w:rsidRDefault="00A64779" w:rsidP="003A3653">
      <w:pPr>
        <w:spacing w:line="360" w:lineRule="auto"/>
        <w:jc w:val="both"/>
        <w:rPr>
          <w:rFonts w:ascii="Times New Roman" w:hAnsi="Times New Roman" w:cs="Times New Roman"/>
        </w:rPr>
      </w:pPr>
      <w:r w:rsidRPr="003A3653">
        <w:rPr>
          <w:rFonts w:ascii="Times New Roman" w:hAnsi="Times New Roman" w:cs="Times New Roman"/>
        </w:rPr>
        <w:lastRenderedPageBreak/>
        <w:t xml:space="preserve">Se o Tema 990 não </w:t>
      </w:r>
      <w:r w:rsidR="009B1481" w:rsidRPr="003A3653">
        <w:rPr>
          <w:rFonts w:ascii="Times New Roman" w:hAnsi="Times New Roman" w:cs="Times New Roman"/>
        </w:rPr>
        <w:t xml:space="preserve">incluiu </w:t>
      </w:r>
      <w:r w:rsidRPr="003A3653">
        <w:rPr>
          <w:rFonts w:ascii="Times New Roman" w:hAnsi="Times New Roman" w:cs="Times New Roman"/>
        </w:rPr>
        <w:t xml:space="preserve">a hipótese de </w:t>
      </w:r>
      <w:r w:rsidR="009B1481" w:rsidRPr="003A3653">
        <w:rPr>
          <w:rFonts w:ascii="Times New Roman" w:hAnsi="Times New Roman" w:cs="Times New Roman"/>
        </w:rPr>
        <w:t xml:space="preserve">requerimento direto de acesso aos </w:t>
      </w:r>
      <w:r w:rsidRPr="003A3653">
        <w:rPr>
          <w:rFonts w:ascii="Times New Roman" w:hAnsi="Times New Roman" w:cs="Times New Roman"/>
        </w:rPr>
        <w:t xml:space="preserve">RIFs por autoridades de persecução penal, a Reclamação Constitucional nº 61.944 não deveria sequer ter sido conhecida pelo </w:t>
      </w:r>
      <w:r w:rsidR="00B60F24" w:rsidRPr="003A3653">
        <w:rPr>
          <w:rFonts w:ascii="Times New Roman" w:hAnsi="Times New Roman" w:cs="Times New Roman"/>
        </w:rPr>
        <w:t>STF</w:t>
      </w:r>
      <w:r w:rsidRPr="003A3653">
        <w:rPr>
          <w:rFonts w:ascii="Times New Roman" w:hAnsi="Times New Roman" w:cs="Times New Roman"/>
        </w:rPr>
        <w:t>.</w:t>
      </w:r>
    </w:p>
    <w:p w14:paraId="4E8715F9" w14:textId="54A88B58" w:rsidR="00A64779" w:rsidRPr="003A3653" w:rsidRDefault="00A64779" w:rsidP="003A3653">
      <w:pPr>
        <w:spacing w:line="360" w:lineRule="auto"/>
        <w:jc w:val="both"/>
        <w:rPr>
          <w:rFonts w:ascii="Times New Roman" w:hAnsi="Times New Roman" w:cs="Times New Roman"/>
        </w:rPr>
      </w:pPr>
      <w:r w:rsidRPr="003A3653">
        <w:rPr>
          <w:rFonts w:ascii="Times New Roman" w:hAnsi="Times New Roman" w:cs="Times New Roman"/>
        </w:rPr>
        <w:t xml:space="preserve">É nesse ponto que se revela o caráter paradoxal — e, ao fim, contraditório — da peça apresentada pelo Ministério Público do Estado do Pará. Para sustentar a alegada usurpação de competência do STF, o </w:t>
      </w:r>
      <w:r w:rsidRPr="003A3653">
        <w:rPr>
          <w:rFonts w:ascii="Times New Roman" w:hAnsi="Times New Roman" w:cs="Times New Roman"/>
          <w:i/>
          <w:iCs/>
        </w:rPr>
        <w:t>parquet</w:t>
      </w:r>
      <w:r w:rsidRPr="003A3653">
        <w:rPr>
          <w:rFonts w:ascii="Times New Roman" w:hAnsi="Times New Roman" w:cs="Times New Roman"/>
        </w:rPr>
        <w:t xml:space="preserve"> cita justamente o voto vencido do Ministro Rogério Schietti no julgamento do RHC 147.707/PA. </w:t>
      </w:r>
    </w:p>
    <w:p w14:paraId="1B4E58B6" w14:textId="5BC82319" w:rsidR="00A64779" w:rsidRPr="003A3653" w:rsidRDefault="00A64779" w:rsidP="003A3653">
      <w:pPr>
        <w:spacing w:line="360" w:lineRule="auto"/>
        <w:jc w:val="both"/>
        <w:rPr>
          <w:rFonts w:ascii="Times New Roman" w:hAnsi="Times New Roman" w:cs="Times New Roman"/>
        </w:rPr>
      </w:pPr>
      <w:r w:rsidRPr="003A3653">
        <w:rPr>
          <w:rFonts w:ascii="Times New Roman" w:hAnsi="Times New Roman" w:cs="Times New Roman"/>
        </w:rPr>
        <w:t xml:space="preserve">Ocorre que, como se depreende da leitura atenta do voto, embora </w:t>
      </w:r>
      <w:r w:rsidR="004777E0" w:rsidRPr="003A3653">
        <w:rPr>
          <w:rFonts w:ascii="Times New Roman" w:hAnsi="Times New Roman" w:cs="Times New Roman"/>
        </w:rPr>
        <w:t xml:space="preserve">o Min. Rogério </w:t>
      </w:r>
      <w:r w:rsidRPr="003A3653">
        <w:rPr>
          <w:rFonts w:ascii="Times New Roman" w:hAnsi="Times New Roman" w:cs="Times New Roman"/>
        </w:rPr>
        <w:t xml:space="preserve">Schietti tenha, por outros fundamentos, divergido da maioria, ele expressamente reconhece que o caso analisado não se amolda ao Tema 990, cuja </w:t>
      </w:r>
      <w:r w:rsidRPr="003A3653">
        <w:rPr>
          <w:rFonts w:ascii="Times New Roman" w:hAnsi="Times New Roman" w:cs="Times New Roman"/>
          <w:i/>
          <w:iCs/>
        </w:rPr>
        <w:t>ratio decidendi</w:t>
      </w:r>
      <w:r w:rsidRPr="003A3653">
        <w:rPr>
          <w:rFonts w:ascii="Times New Roman" w:hAnsi="Times New Roman" w:cs="Times New Roman"/>
        </w:rPr>
        <w:t xml:space="preserve"> se limita ao compartilhamento espontâneo de informações entre Receita Federal e Ministério Público no âmbito de crimes tributários. Destaque-se: </w:t>
      </w:r>
    </w:p>
    <w:p w14:paraId="6297D0DB" w14:textId="6A618118" w:rsidR="00A64779" w:rsidRDefault="00A64779" w:rsidP="003A46EA">
      <w:pPr>
        <w:spacing w:line="240" w:lineRule="auto"/>
        <w:ind w:left="1701"/>
        <w:jc w:val="both"/>
        <w:rPr>
          <w:rFonts w:ascii="Times New Roman" w:hAnsi="Times New Roman" w:cs="Times New Roman"/>
          <w:sz w:val="22"/>
          <w:szCs w:val="22"/>
        </w:rPr>
      </w:pPr>
      <w:r w:rsidRPr="008D69A3">
        <w:rPr>
          <w:rFonts w:ascii="Times New Roman" w:hAnsi="Times New Roman" w:cs="Times New Roman"/>
          <w:sz w:val="22"/>
          <w:szCs w:val="22"/>
        </w:rPr>
        <w:t>No caso, investiga-se a possível prática de lavagem de dinheiro e, portanto, não há procedimento fiscal; tampouco se trata de requisição feita à Receita Federal, visto que realizada com o objetivo de obtenção do relatório produzido pelo Coaf. Assim, o debate jurídico suscitado nesta oportunidade, sob o prisma procedimental, não se amolda, como afirmado pelo relator, ao caso julgado em repercussão geral pelo STF (RE n. 1.055.941/SP), que trata especificamente da possibilidade de haver o compartilhamento de dados entre a Receita e o MP nos crimes tributários.</w:t>
      </w:r>
    </w:p>
    <w:p w14:paraId="1A3E6E81" w14:textId="77777777" w:rsidR="003810B2" w:rsidRPr="008D69A3" w:rsidRDefault="003810B2" w:rsidP="003A46EA">
      <w:pPr>
        <w:spacing w:line="240" w:lineRule="auto"/>
        <w:ind w:left="1701"/>
        <w:jc w:val="both"/>
        <w:rPr>
          <w:rFonts w:ascii="Times New Roman" w:hAnsi="Times New Roman" w:cs="Times New Roman"/>
          <w:sz w:val="22"/>
          <w:szCs w:val="22"/>
        </w:rPr>
      </w:pPr>
    </w:p>
    <w:p w14:paraId="27AE0CCB" w14:textId="60F692B2" w:rsidR="00A64779" w:rsidRPr="003A3653" w:rsidRDefault="00A64779" w:rsidP="003A3653">
      <w:pPr>
        <w:spacing w:line="360" w:lineRule="auto"/>
        <w:jc w:val="both"/>
        <w:rPr>
          <w:rFonts w:ascii="Times New Roman" w:hAnsi="Times New Roman" w:cs="Times New Roman"/>
        </w:rPr>
      </w:pPr>
      <w:r w:rsidRPr="003A3653">
        <w:rPr>
          <w:rFonts w:ascii="Times New Roman" w:hAnsi="Times New Roman" w:cs="Times New Roman"/>
        </w:rPr>
        <w:t xml:space="preserve">A decisão do Min. Rogério Schietti, portanto, não apenas refuta a incidência do Tema 990, como reforça — embora por via transversa — a autonomia e a legalidade da análise feita pelo STJ no RHC n. 147.707. </w:t>
      </w:r>
    </w:p>
    <w:p w14:paraId="3D204280" w14:textId="6E66ADCC" w:rsidR="002D48EA" w:rsidRPr="003A3653" w:rsidRDefault="002D48EA" w:rsidP="003A3653">
      <w:pPr>
        <w:spacing w:line="360" w:lineRule="auto"/>
        <w:jc w:val="both"/>
        <w:rPr>
          <w:rFonts w:ascii="Times New Roman" w:hAnsi="Times New Roman" w:cs="Times New Roman"/>
        </w:rPr>
      </w:pPr>
      <w:r w:rsidRPr="003A3653">
        <w:rPr>
          <w:rFonts w:ascii="Times New Roman" w:hAnsi="Times New Roman" w:cs="Times New Roman"/>
        </w:rPr>
        <w:t>A esse vício soma-se outro: o não esgotamento das instâncias ordinárias. A decisão reclamada não transitou em julgado, tampouco houve o esgotamento de recursos cabíveis no STJ. Ainda assim, a reclamação foi conhecida sob o inusitado fundamento de que a matéria "com grande probabilidade" chegaria ao Supremo. A conjugação desses dois vícios revela que a RCL nº 61.944 não deveria ter ultrapassado o juízo de admissibilidade.</w:t>
      </w:r>
    </w:p>
    <w:p w14:paraId="7149489C" w14:textId="77777777" w:rsidR="002D48EA" w:rsidRPr="003A3653" w:rsidRDefault="002D48EA" w:rsidP="003A3653">
      <w:pPr>
        <w:spacing w:line="360" w:lineRule="auto"/>
        <w:jc w:val="both"/>
        <w:rPr>
          <w:rFonts w:ascii="Times New Roman" w:hAnsi="Times New Roman" w:cs="Times New Roman"/>
          <w:b/>
          <w:bCs/>
        </w:rPr>
      </w:pPr>
    </w:p>
    <w:p w14:paraId="52C3A50B" w14:textId="742663F7" w:rsidR="00041861" w:rsidRPr="003A3653" w:rsidRDefault="00041861" w:rsidP="003A3653">
      <w:pPr>
        <w:spacing w:line="360" w:lineRule="auto"/>
        <w:jc w:val="both"/>
        <w:rPr>
          <w:rFonts w:ascii="Times New Roman" w:hAnsi="Times New Roman" w:cs="Times New Roman"/>
          <w:b/>
          <w:bCs/>
        </w:rPr>
      </w:pPr>
      <w:r w:rsidRPr="003A3653">
        <w:rPr>
          <w:rFonts w:ascii="Times New Roman" w:hAnsi="Times New Roman" w:cs="Times New Roman"/>
          <w:b/>
          <w:bCs/>
        </w:rPr>
        <w:t>4. A decisão da RCL 61.944 à luz do sistema de precedentes: vício de mérito na aplicação da tese</w:t>
      </w:r>
    </w:p>
    <w:p w14:paraId="24B681EB" w14:textId="77777777" w:rsidR="005A0347" w:rsidRPr="003A3653" w:rsidRDefault="005A0347" w:rsidP="003A3653">
      <w:pPr>
        <w:spacing w:line="360" w:lineRule="auto"/>
        <w:jc w:val="both"/>
        <w:rPr>
          <w:rFonts w:ascii="Times New Roman" w:hAnsi="Times New Roman" w:cs="Times New Roman"/>
          <w:b/>
          <w:bCs/>
        </w:rPr>
      </w:pPr>
    </w:p>
    <w:p w14:paraId="474DE155" w14:textId="77777777" w:rsidR="00901540" w:rsidRPr="003A3653" w:rsidRDefault="00901540" w:rsidP="003A3653">
      <w:pPr>
        <w:spacing w:line="360" w:lineRule="auto"/>
        <w:jc w:val="both"/>
        <w:rPr>
          <w:rFonts w:ascii="Times New Roman" w:hAnsi="Times New Roman" w:cs="Times New Roman"/>
        </w:rPr>
      </w:pPr>
      <w:r w:rsidRPr="003A3653">
        <w:rPr>
          <w:rFonts w:ascii="Times New Roman" w:hAnsi="Times New Roman" w:cs="Times New Roman"/>
        </w:rPr>
        <w:lastRenderedPageBreak/>
        <w:t>No plano do mérito, a decisão proferida na RCL 61.944 incorre em vício estrutural, à luz do sistema de precedentes qualificados adotado pelo CPC/2015.</w:t>
      </w:r>
    </w:p>
    <w:p w14:paraId="11CA4783" w14:textId="62E242D0" w:rsidR="00901540" w:rsidRPr="003A3653" w:rsidRDefault="00901540" w:rsidP="003A3653">
      <w:pPr>
        <w:spacing w:line="360" w:lineRule="auto"/>
        <w:jc w:val="both"/>
        <w:rPr>
          <w:rFonts w:ascii="Times New Roman" w:hAnsi="Times New Roman" w:cs="Times New Roman"/>
        </w:rPr>
      </w:pPr>
      <w:r w:rsidRPr="003A3653">
        <w:rPr>
          <w:rFonts w:ascii="Times New Roman" w:hAnsi="Times New Roman" w:cs="Times New Roman"/>
        </w:rPr>
        <w:t xml:space="preserve">Ainda que alguns ministros tenham mencionado, de forma pontual, a possibilidade </w:t>
      </w:r>
      <w:r w:rsidR="009B1481" w:rsidRPr="003A3653">
        <w:rPr>
          <w:rFonts w:ascii="Times New Roman" w:hAnsi="Times New Roman" w:cs="Times New Roman"/>
        </w:rPr>
        <w:t xml:space="preserve">do requerimento direto de acesso aos </w:t>
      </w:r>
      <w:r w:rsidRPr="003A3653">
        <w:rPr>
          <w:rFonts w:ascii="Times New Roman" w:hAnsi="Times New Roman" w:cs="Times New Roman"/>
        </w:rPr>
        <w:t xml:space="preserve">RIFs, tal questão jamais integrou a </w:t>
      </w:r>
      <w:r w:rsidRPr="003A3653">
        <w:rPr>
          <w:rFonts w:ascii="Times New Roman" w:hAnsi="Times New Roman" w:cs="Times New Roman"/>
          <w:i/>
          <w:iCs/>
        </w:rPr>
        <w:t>ratio decidendi</w:t>
      </w:r>
      <w:r w:rsidRPr="003A3653">
        <w:rPr>
          <w:rFonts w:ascii="Times New Roman" w:hAnsi="Times New Roman" w:cs="Times New Roman"/>
        </w:rPr>
        <w:t xml:space="preserve"> do Tema 990. O debate foi tangencial, não amadurecido, alheio às alegações das partes </w:t>
      </w:r>
      <w:r w:rsidR="009B1481" w:rsidRPr="003A3653">
        <w:rPr>
          <w:rFonts w:ascii="Times New Roman" w:hAnsi="Times New Roman" w:cs="Times New Roman"/>
        </w:rPr>
        <w:t xml:space="preserve">(que nunca suscitaram essa questão, afinal não fazia parte do caso em análise) </w:t>
      </w:r>
      <w:r w:rsidRPr="003A3653">
        <w:rPr>
          <w:rFonts w:ascii="Times New Roman" w:hAnsi="Times New Roman" w:cs="Times New Roman"/>
        </w:rPr>
        <w:t>e irrelevante para a conclusão do julgamento.</w:t>
      </w:r>
    </w:p>
    <w:p w14:paraId="25FAB7C2" w14:textId="142584DD" w:rsidR="004777E0" w:rsidRPr="003A3653" w:rsidRDefault="003810B2" w:rsidP="003A3653">
      <w:pPr>
        <w:spacing w:line="360" w:lineRule="auto"/>
        <w:jc w:val="both"/>
        <w:rPr>
          <w:rFonts w:ascii="Times New Roman" w:hAnsi="Times New Roman" w:cs="Times New Roman"/>
        </w:rPr>
      </w:pPr>
      <w:r>
        <w:rPr>
          <w:rFonts w:ascii="Times New Roman" w:hAnsi="Times New Roman" w:cs="Times New Roman"/>
        </w:rPr>
        <w:t>S</w:t>
      </w:r>
      <w:r w:rsidR="00901540" w:rsidRPr="003A3653">
        <w:rPr>
          <w:rFonts w:ascii="Times New Roman" w:hAnsi="Times New Roman" w:cs="Times New Roman"/>
        </w:rPr>
        <w:t xml:space="preserve">omente a </w:t>
      </w:r>
      <w:r w:rsidR="00901540" w:rsidRPr="003A3653">
        <w:rPr>
          <w:rFonts w:ascii="Times New Roman" w:hAnsi="Times New Roman" w:cs="Times New Roman"/>
          <w:i/>
          <w:iCs/>
        </w:rPr>
        <w:t>ratio decidendi</w:t>
      </w:r>
      <w:r w:rsidR="00901540" w:rsidRPr="003A3653">
        <w:rPr>
          <w:rFonts w:ascii="Times New Roman" w:hAnsi="Times New Roman" w:cs="Times New Roman"/>
        </w:rPr>
        <w:t xml:space="preserve"> — ou seja, a proposição jurídica essencial à solução da causa — possui força vinculante</w:t>
      </w:r>
      <w:r w:rsidR="004777E0" w:rsidRPr="003A3653">
        <w:rPr>
          <w:rFonts w:ascii="Times New Roman" w:hAnsi="Times New Roman" w:cs="Times New Roman"/>
        </w:rPr>
        <w:t xml:space="preserve"> no sistema de precedentes</w:t>
      </w:r>
      <w:r w:rsidR="00901540" w:rsidRPr="003A3653">
        <w:rPr>
          <w:rFonts w:ascii="Times New Roman" w:hAnsi="Times New Roman" w:cs="Times New Roman"/>
        </w:rPr>
        <w:t xml:space="preserve">. As considerações periféricas, não essenciais à decisão e invocadas apenas como reforço argumentativo, são classificadas como </w:t>
      </w:r>
      <w:r w:rsidR="00901540" w:rsidRPr="003A3653">
        <w:rPr>
          <w:rFonts w:ascii="Times New Roman" w:hAnsi="Times New Roman" w:cs="Times New Roman"/>
          <w:i/>
          <w:iCs/>
        </w:rPr>
        <w:t>obiter dicta</w:t>
      </w:r>
      <w:r w:rsidR="00901540" w:rsidRPr="003A3653">
        <w:rPr>
          <w:rFonts w:ascii="Times New Roman" w:hAnsi="Times New Roman" w:cs="Times New Roman"/>
        </w:rPr>
        <w:t>, sem efeito vinculante</w:t>
      </w:r>
      <w:r w:rsidR="004777E0" w:rsidRPr="003A3653">
        <w:rPr>
          <w:rStyle w:val="Refdenotaderodap"/>
          <w:rFonts w:ascii="Times New Roman" w:hAnsi="Times New Roman" w:cs="Times New Roman"/>
        </w:rPr>
        <w:footnoteReference w:id="1"/>
      </w:r>
      <w:r w:rsidR="004777E0" w:rsidRPr="003A3653">
        <w:rPr>
          <w:rFonts w:ascii="Times New Roman" w:hAnsi="Times New Roman" w:cs="Times New Roman"/>
        </w:rPr>
        <w:t>.</w:t>
      </w:r>
    </w:p>
    <w:p w14:paraId="6219C11F" w14:textId="3961092E" w:rsidR="00901540" w:rsidRPr="003A3653" w:rsidRDefault="00901540" w:rsidP="003A3653">
      <w:pPr>
        <w:spacing w:line="360" w:lineRule="auto"/>
        <w:jc w:val="both"/>
        <w:rPr>
          <w:rFonts w:ascii="Times New Roman" w:hAnsi="Times New Roman" w:cs="Times New Roman"/>
        </w:rPr>
      </w:pPr>
      <w:r w:rsidRPr="003A3653">
        <w:rPr>
          <w:rFonts w:ascii="Times New Roman" w:hAnsi="Times New Roman" w:cs="Times New Roman"/>
        </w:rPr>
        <w:t xml:space="preserve">A decisão da RCL 61.944 incorre, portanto, em erro metodológico grave: converteu </w:t>
      </w:r>
      <w:r w:rsidRPr="003A3653">
        <w:rPr>
          <w:rFonts w:ascii="Times New Roman" w:hAnsi="Times New Roman" w:cs="Times New Roman"/>
          <w:i/>
          <w:iCs/>
        </w:rPr>
        <w:t>obiter dicta</w:t>
      </w:r>
      <w:r w:rsidRPr="003A3653">
        <w:rPr>
          <w:rFonts w:ascii="Times New Roman" w:hAnsi="Times New Roman" w:cs="Times New Roman"/>
        </w:rPr>
        <w:t xml:space="preserve"> em fundamento </w:t>
      </w:r>
      <w:r w:rsidR="004777E0" w:rsidRPr="003A3653">
        <w:rPr>
          <w:rFonts w:ascii="Times New Roman" w:hAnsi="Times New Roman" w:cs="Times New Roman"/>
        </w:rPr>
        <w:t xml:space="preserve">vinculante </w:t>
      </w:r>
      <w:r w:rsidRPr="003A3653">
        <w:rPr>
          <w:rFonts w:ascii="Times New Roman" w:hAnsi="Times New Roman" w:cs="Times New Roman"/>
        </w:rPr>
        <w:t xml:space="preserve">obrigatório, e mais grave, inseriu como tese aquilo que </w:t>
      </w:r>
      <w:r w:rsidR="009B1481" w:rsidRPr="003A3653">
        <w:rPr>
          <w:rFonts w:ascii="Times New Roman" w:hAnsi="Times New Roman" w:cs="Times New Roman"/>
        </w:rPr>
        <w:t xml:space="preserve">não </w:t>
      </w:r>
      <w:r w:rsidRPr="003A3653">
        <w:rPr>
          <w:rFonts w:ascii="Times New Roman" w:hAnsi="Times New Roman" w:cs="Times New Roman"/>
        </w:rPr>
        <w:t>foi deliberado</w:t>
      </w:r>
      <w:r w:rsidR="009B1481" w:rsidRPr="003A3653">
        <w:rPr>
          <w:rFonts w:ascii="Times New Roman" w:hAnsi="Times New Roman" w:cs="Times New Roman"/>
        </w:rPr>
        <w:t xml:space="preserve"> pela íntegra do Plenário</w:t>
      </w:r>
      <w:r w:rsidRPr="003A3653">
        <w:rPr>
          <w:rFonts w:ascii="Times New Roman" w:hAnsi="Times New Roman" w:cs="Times New Roman"/>
        </w:rPr>
        <w:t xml:space="preserve">. </w:t>
      </w:r>
      <w:r w:rsidR="004777E0" w:rsidRPr="003A3653">
        <w:rPr>
          <w:rFonts w:ascii="Times New Roman" w:hAnsi="Times New Roman" w:cs="Times New Roman"/>
        </w:rPr>
        <w:t>A</w:t>
      </w:r>
      <w:r w:rsidRPr="003A3653">
        <w:rPr>
          <w:rFonts w:ascii="Times New Roman" w:hAnsi="Times New Roman" w:cs="Times New Roman"/>
        </w:rPr>
        <w:t xml:space="preserve"> distorção afronta os princípios estruturantes do sistema de precedentes e </w:t>
      </w:r>
      <w:r w:rsidR="009B1481" w:rsidRPr="003A3653">
        <w:rPr>
          <w:rFonts w:ascii="Times New Roman" w:hAnsi="Times New Roman" w:cs="Times New Roman"/>
        </w:rPr>
        <w:t xml:space="preserve">prejudica a segurança jurídica que deveria advir da </w:t>
      </w:r>
      <w:r w:rsidRPr="003A3653">
        <w:rPr>
          <w:rFonts w:ascii="Times New Roman" w:hAnsi="Times New Roman" w:cs="Times New Roman"/>
        </w:rPr>
        <w:t>fixação de teses jurídicas vinculantes</w:t>
      </w:r>
      <w:r w:rsidR="009B1481" w:rsidRPr="003A3653">
        <w:rPr>
          <w:rFonts w:ascii="Times New Roman" w:hAnsi="Times New Roman" w:cs="Times New Roman"/>
        </w:rPr>
        <w:t>, causando efeito contrário</w:t>
      </w:r>
      <w:r w:rsidRPr="003A3653">
        <w:rPr>
          <w:rFonts w:ascii="Times New Roman" w:hAnsi="Times New Roman" w:cs="Times New Roman"/>
        </w:rPr>
        <w:t>.</w:t>
      </w:r>
    </w:p>
    <w:p w14:paraId="0F3FBFAD" w14:textId="77777777" w:rsidR="00637BDB" w:rsidRPr="003A3653" w:rsidRDefault="00637BDB" w:rsidP="003A3653">
      <w:pPr>
        <w:spacing w:line="360" w:lineRule="auto"/>
        <w:jc w:val="both"/>
        <w:rPr>
          <w:rFonts w:ascii="Times New Roman" w:hAnsi="Times New Roman" w:cs="Times New Roman"/>
        </w:rPr>
      </w:pPr>
    </w:p>
    <w:p w14:paraId="4E81A7CD" w14:textId="0F02418D" w:rsidR="004777E0" w:rsidRPr="003A3653" w:rsidRDefault="004777E0" w:rsidP="003A3653">
      <w:pPr>
        <w:spacing w:line="360" w:lineRule="auto"/>
        <w:jc w:val="both"/>
        <w:rPr>
          <w:rFonts w:ascii="Times New Roman" w:hAnsi="Times New Roman" w:cs="Times New Roman"/>
          <w:b/>
          <w:bCs/>
        </w:rPr>
      </w:pPr>
      <w:r w:rsidRPr="003A3653">
        <w:rPr>
          <w:rFonts w:ascii="Times New Roman" w:hAnsi="Times New Roman" w:cs="Times New Roman"/>
          <w:b/>
          <w:bCs/>
        </w:rPr>
        <w:t>5. No mérito: o problema da elasticidade argumentativa e a sobreposição indevida do GAFI à legislação brasileira</w:t>
      </w:r>
      <w:r w:rsidR="00DA2D2A" w:rsidRPr="003A3653">
        <w:rPr>
          <w:rFonts w:ascii="Times New Roman" w:hAnsi="Times New Roman" w:cs="Times New Roman"/>
          <w:b/>
          <w:bCs/>
        </w:rPr>
        <w:t xml:space="preserve">. </w:t>
      </w:r>
    </w:p>
    <w:p w14:paraId="22990506" w14:textId="4700CDC6"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br/>
        <w:t>No mérito, a decisão da RCL 61.944 se ancora na alegação de que exigir autorização judicial para o fornecimento de RIFs pelo COAF violaria recomendações internacionais assumidas pelo Brasil, especialmente as Recomendações nº 9 e nº 29.5 do Grupo de Ação Financeira Internacional (GAFI). O Ministro Cristiano Zanin sustenta que as leis de sigilo bancário não devem servir como obstáculo ao compartilhamento de informações financeiras entre a unidade de inteligência (COAF) e as autoridades de persecução penal, mesmo quando se trata de requisição provocada.</w:t>
      </w:r>
    </w:p>
    <w:p w14:paraId="63628A20" w14:textId="485EEF05"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b/>
          <w:bCs/>
          <w:i/>
          <w:iCs/>
        </w:rPr>
        <w:lastRenderedPageBreak/>
        <w:t>Primeiro</w:t>
      </w:r>
      <w:r w:rsidRPr="003A3653">
        <w:rPr>
          <w:rFonts w:ascii="Times New Roman" w:hAnsi="Times New Roman" w:cs="Times New Roman"/>
        </w:rPr>
        <w:t>, a Recomendação nº 9 do GAFI determina que “</w:t>
      </w:r>
      <w:r w:rsidRPr="003A3653">
        <w:rPr>
          <w:rFonts w:ascii="Times New Roman" w:hAnsi="Times New Roman" w:cs="Times New Roman"/>
          <w:i/>
          <w:iCs/>
        </w:rPr>
        <w:t>os países deveriam assegurar que as leis de sigilo das instituições financeiras não inibam a implementação das recomendações</w:t>
      </w:r>
      <w:r w:rsidRPr="003A3653">
        <w:rPr>
          <w:rFonts w:ascii="Times New Roman" w:hAnsi="Times New Roman" w:cs="Times New Roman"/>
        </w:rPr>
        <w:t>”. Já a Recomendação nº 29.5 dispõe que a unidade de inteligência financeira deve ser capaz de disseminar, “</w:t>
      </w:r>
      <w:r w:rsidRPr="003A3653">
        <w:rPr>
          <w:rFonts w:ascii="Times New Roman" w:hAnsi="Times New Roman" w:cs="Times New Roman"/>
          <w:i/>
          <w:iCs/>
        </w:rPr>
        <w:t>espontaneamente e a pedidos</w:t>
      </w:r>
      <w:r w:rsidRPr="003A3653">
        <w:rPr>
          <w:rFonts w:ascii="Times New Roman" w:hAnsi="Times New Roman" w:cs="Times New Roman"/>
        </w:rPr>
        <w:t>”, informações e os resultados de suas análises para as autoridades competentes.</w:t>
      </w:r>
    </w:p>
    <w:p w14:paraId="5659CA63" w14:textId="5FE4EAAE"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t>Todavia, nenhuma dessas recomendações impede que os países prevejam, em seus sistemas legais, um controle jurisdicional prévio para o acesso a dados sensíveis. O que se busca evitar é o bloqueio absoluto à persecução penal, e não a existência de salvaguardas legais. Como orientações internacionais, as recomendações do GAFI conferem margem de conformação normativa a cada Estado — e o Brasil, por sua tradição constitucional, optou por submeter medidas invasivas de privacidade a controle judicial.</w:t>
      </w:r>
    </w:p>
    <w:p w14:paraId="4DB60CDC" w14:textId="77777777"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t>Exigir autorização judicial não inviabiliza o acesso aos RIFs — apenas o submete a um filtro de legalidade e proporcionalidade. Tampouco prejudica a efetividade da persecução penal, uma vez que os dados constantes nos relatórios não são perecíveis. Pelo contrário: o controle jurisdicional prévio reforça a legitimidade das investigações e evita o uso abusivo de medidas invasivas.</w:t>
      </w:r>
    </w:p>
    <w:p w14:paraId="13C1D73E" w14:textId="33363520"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t xml:space="preserve">Portanto, não se pode extrair das recomendações do GAFI um comando normativo rígido ou incompatível com exigências internas de proteção a direitos fundamentais. Trata-se de diretrizes técnicas que devem ser compatibilizadas com o ordenamento constitucional de cada país. </w:t>
      </w:r>
      <w:r w:rsidR="009B1481" w:rsidRPr="003A3653">
        <w:rPr>
          <w:rFonts w:ascii="Times New Roman" w:hAnsi="Times New Roman" w:cs="Times New Roman"/>
        </w:rPr>
        <w:t>E não é difícil fazê-lo: a recomendação, não cogente, 29.5 diz que deve ser possível o compartilhamento “a pedidos”, mas não diz que essa hipótese deve dispensar autorização judicial.</w:t>
      </w:r>
      <w:r w:rsidR="00B60F24" w:rsidRPr="003A3653">
        <w:rPr>
          <w:rFonts w:ascii="Times New Roman" w:hAnsi="Times New Roman" w:cs="Times New Roman"/>
        </w:rPr>
        <w:t xml:space="preserve"> </w:t>
      </w:r>
    </w:p>
    <w:p w14:paraId="0E6B3387" w14:textId="4845D722"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b/>
          <w:bCs/>
          <w:i/>
          <w:iCs/>
        </w:rPr>
        <w:t>Segundo</w:t>
      </w:r>
      <w:r w:rsidRPr="003A3653">
        <w:rPr>
          <w:rFonts w:ascii="Times New Roman" w:hAnsi="Times New Roman" w:cs="Times New Roman"/>
        </w:rPr>
        <w:t>, superada a questão das recomendações internacionais, cumpre analisar a compatibilidade da decisão da RCL 61.944 com a legislação brasileira. E aqui, o contraste é ainda mais evidente.</w:t>
      </w:r>
    </w:p>
    <w:p w14:paraId="41A478E4" w14:textId="35D5B2BE"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t xml:space="preserve">O artigo 15 da Lei nº 9.613/98 prevê expressamente o compartilhamento espontâneo de informações pelo COAF com autoridades competentes. Trata-se de uma exceção autorizada por lei, voltada a situações em que o próprio órgão de inteligência, diante de indícios de crime, decide encaminhar informações às autoridades. </w:t>
      </w:r>
      <w:r w:rsidR="00B60F24" w:rsidRPr="003A3653">
        <w:rPr>
          <w:rFonts w:ascii="Times New Roman" w:hAnsi="Times New Roman" w:cs="Times New Roman"/>
        </w:rPr>
        <w:t>Isso foi julgado constitucional pelo STF no Tema 990. Porém, a</w:t>
      </w:r>
      <w:r w:rsidRPr="003A3653">
        <w:rPr>
          <w:rFonts w:ascii="Times New Roman" w:hAnsi="Times New Roman" w:cs="Times New Roman"/>
        </w:rPr>
        <w:t xml:space="preserve"> hipótese </w:t>
      </w:r>
      <w:r w:rsidR="00B60F24" w:rsidRPr="003A3653">
        <w:rPr>
          <w:rFonts w:ascii="Times New Roman" w:hAnsi="Times New Roman" w:cs="Times New Roman"/>
        </w:rPr>
        <w:t xml:space="preserve">do requerimento direto de acesso aos RIFs, sem autorização judicial </w:t>
      </w:r>
      <w:r w:rsidRPr="003A3653">
        <w:rPr>
          <w:rFonts w:ascii="Times New Roman" w:hAnsi="Times New Roman" w:cs="Times New Roman"/>
        </w:rPr>
        <w:t>— como se deu no caso</w:t>
      </w:r>
      <w:r w:rsidR="00B60F24" w:rsidRPr="003A3653">
        <w:rPr>
          <w:rFonts w:ascii="Times New Roman" w:hAnsi="Times New Roman" w:cs="Times New Roman"/>
        </w:rPr>
        <w:t xml:space="preserve"> da Rcl </w:t>
      </w:r>
      <w:r w:rsidRPr="003A3653">
        <w:rPr>
          <w:rFonts w:ascii="Times New Roman" w:hAnsi="Times New Roman" w:cs="Times New Roman"/>
        </w:rPr>
        <w:t>— não está prevista nesse dispositivo</w:t>
      </w:r>
      <w:r w:rsidR="00B60F24" w:rsidRPr="003A3653">
        <w:rPr>
          <w:rFonts w:ascii="Times New Roman" w:hAnsi="Times New Roman" w:cs="Times New Roman"/>
        </w:rPr>
        <w:t xml:space="preserve"> e não há outro dispositivo legal que a autorize</w:t>
      </w:r>
      <w:r w:rsidRPr="003A3653">
        <w:rPr>
          <w:rFonts w:ascii="Times New Roman" w:hAnsi="Times New Roman" w:cs="Times New Roman"/>
        </w:rPr>
        <w:t>.</w:t>
      </w:r>
    </w:p>
    <w:p w14:paraId="5DBE9B2B" w14:textId="77777777"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lastRenderedPageBreak/>
        <w:t>Por outro lado, quando se trata de medidas que impliquem acesso a dados sigilosos, como ocorre nos pedidos de RIFs, aplica-se o artigo 1º, § 4º, da LC nº 105/2001, que exige expressamente autorização judicial fundamentada para a quebra de sigilo bancário.</w:t>
      </w:r>
    </w:p>
    <w:p w14:paraId="7453A060" w14:textId="4DC4194F"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t xml:space="preserve">Além disso, </w:t>
      </w:r>
      <w:r w:rsidR="00B60F24" w:rsidRPr="003A3653">
        <w:rPr>
          <w:rFonts w:ascii="Times New Roman" w:hAnsi="Times New Roman" w:cs="Times New Roman"/>
        </w:rPr>
        <w:t>de toda forma, posteriormente à conclusão do julgamento do Tema 990 (mais precisamente, 20 dias depois) foi inserido n</w:t>
      </w:r>
      <w:r w:rsidRPr="003A3653">
        <w:rPr>
          <w:rFonts w:ascii="Times New Roman" w:hAnsi="Times New Roman" w:cs="Times New Roman"/>
        </w:rPr>
        <w:t>o Código de Processo Penal</w:t>
      </w:r>
      <w:r w:rsidR="00B60F24" w:rsidRPr="003A3653">
        <w:rPr>
          <w:rFonts w:ascii="Times New Roman" w:hAnsi="Times New Roman" w:cs="Times New Roman"/>
        </w:rPr>
        <w:t xml:space="preserve"> (pelo “Pacote Anticrime”)</w:t>
      </w:r>
      <w:r w:rsidRPr="003A3653">
        <w:rPr>
          <w:rFonts w:ascii="Times New Roman" w:hAnsi="Times New Roman" w:cs="Times New Roman"/>
        </w:rPr>
        <w:t xml:space="preserve">, </w:t>
      </w:r>
      <w:r w:rsidR="00B60F24" w:rsidRPr="003A3653">
        <w:rPr>
          <w:rFonts w:ascii="Times New Roman" w:hAnsi="Times New Roman" w:cs="Times New Roman"/>
        </w:rPr>
        <w:t xml:space="preserve">o </w:t>
      </w:r>
      <w:r w:rsidRPr="003A3653">
        <w:rPr>
          <w:rFonts w:ascii="Times New Roman" w:hAnsi="Times New Roman" w:cs="Times New Roman"/>
        </w:rPr>
        <w:t xml:space="preserve">artigo 3º-B, XI, “d” e “e”, </w:t>
      </w:r>
      <w:r w:rsidR="00070E30">
        <w:rPr>
          <w:rFonts w:ascii="Times New Roman" w:hAnsi="Times New Roman" w:cs="Times New Roman"/>
        </w:rPr>
        <w:t xml:space="preserve">o qual </w:t>
      </w:r>
      <w:r w:rsidRPr="003A3653">
        <w:rPr>
          <w:rFonts w:ascii="Times New Roman" w:hAnsi="Times New Roman" w:cs="Times New Roman"/>
        </w:rPr>
        <w:t xml:space="preserve">reforça esse entendimento ao atribuir ao juiz das garantias a competência para decidir sobre o acesso a informações sigilosas e demais medidas que restrinjam direitos fundamentais. Isso inclui, com clareza, o controle sobre </w:t>
      </w:r>
      <w:r w:rsidR="00B60F24" w:rsidRPr="003A3653">
        <w:rPr>
          <w:rFonts w:ascii="Times New Roman" w:hAnsi="Times New Roman" w:cs="Times New Roman"/>
        </w:rPr>
        <w:t xml:space="preserve">requerimentos </w:t>
      </w:r>
      <w:r w:rsidRPr="003A3653">
        <w:rPr>
          <w:rFonts w:ascii="Times New Roman" w:hAnsi="Times New Roman" w:cs="Times New Roman"/>
        </w:rPr>
        <w:t xml:space="preserve">de confecção </w:t>
      </w:r>
      <w:r w:rsidR="00B60F24" w:rsidRPr="003A3653">
        <w:rPr>
          <w:rFonts w:ascii="Times New Roman" w:hAnsi="Times New Roman" w:cs="Times New Roman"/>
        </w:rPr>
        <w:t xml:space="preserve">e acesso a </w:t>
      </w:r>
      <w:r w:rsidRPr="003A3653">
        <w:rPr>
          <w:rFonts w:ascii="Times New Roman" w:hAnsi="Times New Roman" w:cs="Times New Roman"/>
        </w:rPr>
        <w:t>RIFs — documentos que, por expressa anotação do próprio COAF, são sigilosos</w:t>
      </w:r>
      <w:r w:rsidR="00B60F24" w:rsidRPr="003A3653">
        <w:rPr>
          <w:rFonts w:ascii="Times New Roman" w:hAnsi="Times New Roman" w:cs="Times New Roman"/>
        </w:rPr>
        <w:t xml:space="preserve">, pois </w:t>
      </w:r>
      <w:r w:rsidRPr="003A3653">
        <w:rPr>
          <w:rFonts w:ascii="Times New Roman" w:hAnsi="Times New Roman" w:cs="Times New Roman"/>
        </w:rPr>
        <w:t>tratam de movimentações bancárias.</w:t>
      </w:r>
    </w:p>
    <w:p w14:paraId="197987D4" w14:textId="3C0E891D" w:rsidR="007A2503" w:rsidRDefault="007A2503" w:rsidP="003A3653">
      <w:pPr>
        <w:spacing w:line="360" w:lineRule="auto"/>
        <w:jc w:val="both"/>
        <w:rPr>
          <w:rFonts w:ascii="Times New Roman" w:hAnsi="Times New Roman" w:cs="Times New Roman"/>
        </w:rPr>
      </w:pPr>
      <w:r w:rsidRPr="003A3653">
        <w:rPr>
          <w:rFonts w:ascii="Times New Roman" w:hAnsi="Times New Roman" w:cs="Times New Roman"/>
        </w:rPr>
        <w:t xml:space="preserve">Esse dispositivo é, literalmente, uma cláusula de reserva de jurisdição para requerimentos dessa espécie, de acesso aos RIFs, </w:t>
      </w:r>
      <w:r w:rsidR="006E5B00" w:rsidRPr="003A3653">
        <w:rPr>
          <w:rFonts w:ascii="Times New Roman" w:hAnsi="Times New Roman" w:cs="Times New Roman"/>
        </w:rPr>
        <w:t>e</w:t>
      </w:r>
      <w:r w:rsidRPr="003A3653">
        <w:rPr>
          <w:rFonts w:ascii="Times New Roman" w:hAnsi="Times New Roman" w:cs="Times New Roman"/>
        </w:rPr>
        <w:t xml:space="preserve"> impede que se delegue à decisão administrativa do COAF o deferimento ou indeferimento </w:t>
      </w:r>
      <w:r w:rsidR="006E5B00" w:rsidRPr="003A3653">
        <w:rPr>
          <w:rFonts w:ascii="Times New Roman" w:hAnsi="Times New Roman" w:cs="Times New Roman"/>
        </w:rPr>
        <w:t>do requerimento do MP e da Polícia, o que deve ser avaliado pelo Poder Judiciário</w:t>
      </w:r>
      <w:r w:rsidRPr="003A3653">
        <w:rPr>
          <w:rFonts w:ascii="Times New Roman" w:hAnsi="Times New Roman" w:cs="Times New Roman"/>
        </w:rPr>
        <w:t>.</w:t>
      </w:r>
    </w:p>
    <w:p w14:paraId="32D10DEC" w14:textId="40BB01C6" w:rsidR="003A46EA" w:rsidRDefault="003A46EA" w:rsidP="003A3653">
      <w:pPr>
        <w:spacing w:line="360" w:lineRule="auto"/>
        <w:jc w:val="both"/>
        <w:rPr>
          <w:rFonts w:ascii="Times New Roman" w:hAnsi="Times New Roman" w:cs="Times New Roman"/>
        </w:rPr>
      </w:pPr>
      <w:bookmarkStart w:id="0" w:name="_Hlk194398710"/>
      <w:r>
        <w:rPr>
          <w:rFonts w:ascii="Times New Roman" w:hAnsi="Times New Roman" w:cs="Times New Roman"/>
        </w:rPr>
        <w:t xml:space="preserve">No STJ, o Ministro Antonio Saldanha Palheiro já disse sobre a necessidade de compatibilizar o Tema nº 990 com as mudanças do Pacote Anticrime, especialmente o Juiz das Garantias: no julgamento do RHC 147.707, depois da cassação do acórdão na RCL 61.944, o Ministro destacou que quando </w:t>
      </w:r>
      <w:r w:rsidRPr="003A46EA">
        <w:rPr>
          <w:rFonts w:ascii="Times New Roman" w:hAnsi="Times New Roman" w:cs="Times New Roman"/>
        </w:rPr>
        <w:t xml:space="preserve">julgado o Tema “nós não tínhamos sequer o juiz das garantias, que é um juiz que está sendo implantado exatamente para fiscalizar todos os atos do inquérito”, </w:t>
      </w:r>
      <w:r>
        <w:rPr>
          <w:rFonts w:ascii="Times New Roman" w:hAnsi="Times New Roman" w:cs="Times New Roman"/>
        </w:rPr>
        <w:t xml:space="preserve">consideração indispensável </w:t>
      </w:r>
      <w:r w:rsidRPr="003A46EA">
        <w:rPr>
          <w:rFonts w:ascii="Times New Roman" w:hAnsi="Times New Roman" w:cs="Times New Roman"/>
        </w:rPr>
        <w:t>“para que se busque uma coerência sistemática, né, da jurisprudência que deve ser observadas pelas instâncias que estão abaixo do Supremo”</w:t>
      </w:r>
      <w:r>
        <w:rPr>
          <w:rStyle w:val="Refdenotaderodap"/>
          <w:rFonts w:ascii="Times New Roman" w:hAnsi="Times New Roman" w:cs="Times New Roman"/>
        </w:rPr>
        <w:footnoteReference w:id="2"/>
      </w:r>
      <w:r>
        <w:rPr>
          <w:rFonts w:ascii="Times New Roman" w:hAnsi="Times New Roman" w:cs="Times New Roman"/>
        </w:rPr>
        <w:t>.</w:t>
      </w:r>
    </w:p>
    <w:p w14:paraId="6B898A1F" w14:textId="0FB6A34B" w:rsidR="003A46EA" w:rsidRDefault="003A46EA" w:rsidP="003A3653">
      <w:pPr>
        <w:spacing w:line="360" w:lineRule="auto"/>
        <w:jc w:val="both"/>
        <w:rPr>
          <w:rFonts w:ascii="Times New Roman" w:hAnsi="Times New Roman" w:cs="Times New Roman"/>
        </w:rPr>
      </w:pPr>
      <w:r>
        <w:rPr>
          <w:rFonts w:ascii="Times New Roman" w:hAnsi="Times New Roman" w:cs="Times New Roman"/>
        </w:rPr>
        <w:t xml:space="preserve">Na mesma linha, no STF, embora tratando de outra alteração do </w:t>
      </w:r>
      <w:r w:rsidR="008D69A3">
        <w:rPr>
          <w:rFonts w:ascii="Times New Roman" w:hAnsi="Times New Roman" w:cs="Times New Roman"/>
        </w:rPr>
        <w:t>Pacote Anticrime e do Juiz das Garantias, o Ministro Dias Toffoli (Relator do Tema 990) também afirmou a necessidade de compatibilizar o entendimento do STF com a nova lei:</w:t>
      </w:r>
    </w:p>
    <w:p w14:paraId="39681809" w14:textId="19D1DEC4" w:rsidR="008D69A3" w:rsidRPr="008D69A3" w:rsidRDefault="008D69A3" w:rsidP="008D69A3">
      <w:pPr>
        <w:spacing w:after="0" w:line="240" w:lineRule="auto"/>
        <w:ind w:left="2268"/>
        <w:jc w:val="both"/>
        <w:rPr>
          <w:rFonts w:ascii="Times New Roman" w:eastAsia="Times New Roman" w:hAnsi="Times New Roman" w:cs="Times New Roman"/>
          <w:kern w:val="0"/>
          <w:sz w:val="22"/>
          <w:szCs w:val="22"/>
          <w:lang w:eastAsia="pt-BR"/>
          <w14:ligatures w14:val="none"/>
        </w:rPr>
      </w:pPr>
      <w:r w:rsidRPr="008D69A3">
        <w:rPr>
          <w:rFonts w:ascii="Times New Roman" w:eastAsia="Times New Roman" w:hAnsi="Times New Roman" w:cs="Times New Roman"/>
          <w:kern w:val="0"/>
          <w:sz w:val="22"/>
          <w:szCs w:val="22"/>
          <w:lang w:eastAsia="pt-BR"/>
          <w14:ligatures w14:val="none"/>
        </w:rPr>
        <w:t>E outra coisa: esses dois casos dos quais eu fui Relator [Temas 990 e 225</w:t>
      </w:r>
      <w:r>
        <w:rPr>
          <w:rFonts w:ascii="Times New Roman" w:eastAsia="Times New Roman" w:hAnsi="Times New Roman" w:cs="Times New Roman"/>
          <w:kern w:val="0"/>
          <w:sz w:val="22"/>
          <w:szCs w:val="22"/>
          <w:lang w:eastAsia="pt-BR"/>
          <w14:ligatures w14:val="none"/>
        </w:rPr>
        <w:t xml:space="preserve"> de Repercussão Geral</w:t>
      </w:r>
      <w:r w:rsidRPr="008D69A3">
        <w:rPr>
          <w:rFonts w:ascii="Times New Roman" w:eastAsia="Times New Roman" w:hAnsi="Times New Roman" w:cs="Times New Roman"/>
          <w:kern w:val="0"/>
          <w:sz w:val="22"/>
          <w:szCs w:val="22"/>
          <w:lang w:eastAsia="pt-BR"/>
          <w14:ligatures w14:val="none"/>
        </w:rPr>
        <w:t xml:space="preserve">] (...), eles agora se somam e nós temos que fazer uma leitura sistemática – lembrando o Min. Eros Grau, o direito não se lê em tiras – com o julgamento do juiz das garantias, no qual nós estabelecemos, Doutora Claudia Sampaio, que os PICs têm que ser comunicados dentro do prazo máximo de 30 dias, ao juiz competente. Ao Juiz natural da causa. Independentemente, ainda, de estar criado naquela jurisdição o juiz das garantias. E isso já está valendo. Ora bem, </w:t>
      </w:r>
      <w:r w:rsidRPr="008D69A3">
        <w:rPr>
          <w:rFonts w:ascii="Times New Roman" w:eastAsia="Times New Roman" w:hAnsi="Times New Roman" w:cs="Times New Roman"/>
          <w:kern w:val="0"/>
          <w:sz w:val="22"/>
          <w:szCs w:val="22"/>
          <w:lang w:eastAsia="pt-BR"/>
          <w14:ligatures w14:val="none"/>
        </w:rPr>
        <w:lastRenderedPageBreak/>
        <w:t>se o Ministério Público em 30 dias no máximo da abertura de um PIC tem que comunicar ao juiz, o que lhe custa requerer ao juiz, informando as razões e os fundamentos, a necessidade de acesso àquelas informações? Tendo elementos o juiz vai deferir. Simples assim</w:t>
      </w:r>
      <w:r w:rsidRPr="008D69A3">
        <w:rPr>
          <w:rStyle w:val="Refdenotaderodap"/>
          <w:rFonts w:ascii="Times New Roman" w:eastAsia="Times New Roman" w:hAnsi="Times New Roman" w:cs="Times New Roman"/>
          <w:kern w:val="0"/>
          <w:sz w:val="22"/>
          <w:szCs w:val="22"/>
          <w:lang w:eastAsia="pt-BR"/>
          <w14:ligatures w14:val="none"/>
        </w:rPr>
        <w:footnoteReference w:id="3"/>
      </w:r>
      <w:r>
        <w:rPr>
          <w:rFonts w:ascii="Times New Roman" w:eastAsia="Times New Roman" w:hAnsi="Times New Roman" w:cs="Times New Roman"/>
          <w:kern w:val="0"/>
          <w:sz w:val="22"/>
          <w:szCs w:val="22"/>
          <w:lang w:eastAsia="pt-BR"/>
          <w14:ligatures w14:val="none"/>
        </w:rPr>
        <w:t>.</w:t>
      </w:r>
    </w:p>
    <w:bookmarkEnd w:id="0"/>
    <w:p w14:paraId="377365C7" w14:textId="77777777" w:rsidR="008D69A3" w:rsidRPr="008D69A3" w:rsidRDefault="008D69A3" w:rsidP="008D69A3">
      <w:pPr>
        <w:spacing w:after="0" w:line="240" w:lineRule="auto"/>
        <w:ind w:left="1134"/>
        <w:jc w:val="both"/>
        <w:rPr>
          <w:rFonts w:ascii="Times New Roman" w:hAnsi="Times New Roman" w:cs="Times New Roman"/>
        </w:rPr>
      </w:pPr>
    </w:p>
    <w:p w14:paraId="473C8852" w14:textId="02069248" w:rsidR="006773AC" w:rsidRPr="003A3653" w:rsidRDefault="006773AC" w:rsidP="003A3653">
      <w:pPr>
        <w:spacing w:line="360" w:lineRule="auto"/>
        <w:jc w:val="both"/>
        <w:rPr>
          <w:rFonts w:ascii="Times New Roman" w:hAnsi="Times New Roman" w:cs="Times New Roman"/>
        </w:rPr>
      </w:pPr>
      <w:r w:rsidRPr="003A3653">
        <w:rPr>
          <w:rFonts w:ascii="Times New Roman" w:hAnsi="Times New Roman" w:cs="Times New Roman"/>
        </w:rPr>
        <w:t xml:space="preserve">Portanto, a decisão da </w:t>
      </w:r>
      <w:r w:rsidR="008D69A3">
        <w:rPr>
          <w:rFonts w:ascii="Times New Roman" w:hAnsi="Times New Roman" w:cs="Times New Roman"/>
        </w:rPr>
        <w:t xml:space="preserve">1ª Turma do STF na </w:t>
      </w:r>
      <w:r w:rsidRPr="003A3653">
        <w:rPr>
          <w:rFonts w:ascii="Times New Roman" w:hAnsi="Times New Roman" w:cs="Times New Roman"/>
        </w:rPr>
        <w:t xml:space="preserve">RCL 61.944 representa uma sobreposição indevida de </w:t>
      </w:r>
      <w:r w:rsidR="008D69A3" w:rsidRPr="008D69A3">
        <w:rPr>
          <w:rFonts w:ascii="Times New Roman" w:hAnsi="Times New Roman" w:cs="Times New Roman"/>
          <w:i/>
          <w:iCs/>
        </w:rPr>
        <w:t>recomendações</w:t>
      </w:r>
      <w:r w:rsidRPr="003A3653">
        <w:rPr>
          <w:rFonts w:ascii="Times New Roman" w:hAnsi="Times New Roman" w:cs="Times New Roman"/>
        </w:rPr>
        <w:t xml:space="preserve"> internacionais </w:t>
      </w:r>
      <w:r w:rsidR="008D69A3">
        <w:rPr>
          <w:rFonts w:ascii="Times New Roman" w:hAnsi="Times New Roman" w:cs="Times New Roman"/>
        </w:rPr>
        <w:t xml:space="preserve">a </w:t>
      </w:r>
      <w:r w:rsidRPr="003A3653">
        <w:rPr>
          <w:rFonts w:ascii="Times New Roman" w:hAnsi="Times New Roman" w:cs="Times New Roman"/>
        </w:rPr>
        <w:t>normas internas</w:t>
      </w:r>
      <w:r w:rsidR="00B60F24" w:rsidRPr="003A3653">
        <w:rPr>
          <w:rFonts w:ascii="Times New Roman" w:hAnsi="Times New Roman" w:cs="Times New Roman"/>
        </w:rPr>
        <w:t xml:space="preserve"> (art. 1º, § 4º, da LC nº 105/2001 e art. 3º-B, XI, “d” e “e”, do CPP</w:t>
      </w:r>
      <w:r w:rsidR="008D69A3">
        <w:rPr>
          <w:rFonts w:ascii="Times New Roman" w:hAnsi="Times New Roman" w:cs="Times New Roman"/>
        </w:rPr>
        <w:t>)</w:t>
      </w:r>
      <w:r w:rsidRPr="003A3653">
        <w:rPr>
          <w:rFonts w:ascii="Times New Roman" w:hAnsi="Times New Roman" w:cs="Times New Roman"/>
        </w:rPr>
        <w:t xml:space="preserve">, interpretando as </w:t>
      </w:r>
      <w:r w:rsidRPr="008D69A3">
        <w:rPr>
          <w:rFonts w:ascii="Times New Roman" w:hAnsi="Times New Roman" w:cs="Times New Roman"/>
          <w:i/>
          <w:iCs/>
        </w:rPr>
        <w:t>recomendações</w:t>
      </w:r>
      <w:r w:rsidRPr="003A3653">
        <w:rPr>
          <w:rFonts w:ascii="Times New Roman" w:hAnsi="Times New Roman" w:cs="Times New Roman"/>
        </w:rPr>
        <w:t xml:space="preserve"> do GAFI como se fossem normas </w:t>
      </w:r>
      <w:r w:rsidR="00B60F24" w:rsidRPr="003A3653">
        <w:rPr>
          <w:rFonts w:ascii="Times New Roman" w:hAnsi="Times New Roman" w:cs="Times New Roman"/>
        </w:rPr>
        <w:t xml:space="preserve">superiores e </w:t>
      </w:r>
      <w:r w:rsidRPr="003A3653">
        <w:rPr>
          <w:rFonts w:ascii="Times New Roman" w:hAnsi="Times New Roman" w:cs="Times New Roman"/>
        </w:rPr>
        <w:t>autoexecutáveis</w:t>
      </w:r>
      <w:r w:rsidR="00B60F24" w:rsidRPr="003A3653">
        <w:rPr>
          <w:rFonts w:ascii="Times New Roman" w:hAnsi="Times New Roman" w:cs="Times New Roman"/>
        </w:rPr>
        <w:t xml:space="preserve">, apesar de </w:t>
      </w:r>
      <w:r w:rsidRPr="003A3653">
        <w:rPr>
          <w:rFonts w:ascii="Times New Roman" w:hAnsi="Times New Roman" w:cs="Times New Roman"/>
        </w:rPr>
        <w:t xml:space="preserve">incompatíveis com salvaguardas constitucionais e legais previstas no ordenamento brasileiro. </w:t>
      </w:r>
    </w:p>
    <w:p w14:paraId="6C91FE5F" w14:textId="77777777" w:rsidR="005A0347" w:rsidRPr="003A3653" w:rsidRDefault="005A0347" w:rsidP="003A3653">
      <w:pPr>
        <w:spacing w:line="360" w:lineRule="auto"/>
        <w:jc w:val="both"/>
        <w:rPr>
          <w:rFonts w:ascii="Times New Roman" w:hAnsi="Times New Roman" w:cs="Times New Roman"/>
        </w:rPr>
      </w:pPr>
    </w:p>
    <w:p w14:paraId="655DF2FB" w14:textId="3DBD8DEB" w:rsidR="00637BDB" w:rsidRPr="003A3653" w:rsidRDefault="00637BDB" w:rsidP="003A3653">
      <w:pPr>
        <w:spacing w:line="360" w:lineRule="auto"/>
        <w:jc w:val="both"/>
        <w:rPr>
          <w:rFonts w:ascii="Times New Roman" w:hAnsi="Times New Roman" w:cs="Times New Roman"/>
          <w:b/>
          <w:bCs/>
        </w:rPr>
      </w:pPr>
      <w:r w:rsidRPr="003A3653">
        <w:rPr>
          <w:rFonts w:ascii="Times New Roman" w:hAnsi="Times New Roman" w:cs="Times New Roman"/>
          <w:b/>
          <w:bCs/>
        </w:rPr>
        <w:t>6. A RCL 61.944 e o cenário de divergência jurisprudencial:</w:t>
      </w:r>
    </w:p>
    <w:p w14:paraId="0552984E" w14:textId="77777777" w:rsidR="005A0347" w:rsidRPr="003A3653" w:rsidRDefault="005A0347" w:rsidP="003A3653">
      <w:pPr>
        <w:spacing w:line="360" w:lineRule="auto"/>
        <w:jc w:val="both"/>
        <w:rPr>
          <w:rFonts w:ascii="Times New Roman" w:hAnsi="Times New Roman" w:cs="Times New Roman"/>
          <w:b/>
          <w:bCs/>
        </w:rPr>
      </w:pPr>
    </w:p>
    <w:p w14:paraId="69429907" w14:textId="77777777" w:rsidR="00637BDB" w:rsidRPr="003A3653" w:rsidRDefault="00637BDB" w:rsidP="003A3653">
      <w:pPr>
        <w:spacing w:line="360" w:lineRule="auto"/>
        <w:jc w:val="both"/>
        <w:rPr>
          <w:rFonts w:ascii="Times New Roman" w:hAnsi="Times New Roman" w:cs="Times New Roman"/>
        </w:rPr>
      </w:pPr>
      <w:r w:rsidRPr="003A3653">
        <w:rPr>
          <w:rFonts w:ascii="Times New Roman" w:hAnsi="Times New Roman" w:cs="Times New Roman"/>
        </w:rPr>
        <w:t>A decisão proferida na RCL 61.944 está longe de refletir um entendimento pacífico. Não há consenso nem no STF, nem no STJ.</w:t>
      </w:r>
    </w:p>
    <w:p w14:paraId="3AF594A2" w14:textId="3E85C8E7" w:rsidR="00637BDB" w:rsidRPr="003A3653" w:rsidRDefault="00637BDB" w:rsidP="003A3653">
      <w:pPr>
        <w:spacing w:line="360" w:lineRule="auto"/>
        <w:jc w:val="both"/>
        <w:rPr>
          <w:rFonts w:ascii="Times New Roman" w:hAnsi="Times New Roman" w:cs="Times New Roman"/>
        </w:rPr>
      </w:pPr>
      <w:r w:rsidRPr="003A3653">
        <w:rPr>
          <w:rFonts w:ascii="Times New Roman" w:hAnsi="Times New Roman" w:cs="Times New Roman"/>
        </w:rPr>
        <w:t xml:space="preserve">No </w:t>
      </w:r>
      <w:r w:rsidR="00B60F24" w:rsidRPr="003A3653">
        <w:rPr>
          <w:rFonts w:ascii="Times New Roman" w:hAnsi="Times New Roman" w:cs="Times New Roman"/>
        </w:rPr>
        <w:t>STF</w:t>
      </w:r>
      <w:r w:rsidRPr="003A3653">
        <w:rPr>
          <w:rFonts w:ascii="Times New Roman" w:hAnsi="Times New Roman" w:cs="Times New Roman"/>
        </w:rPr>
        <w:t>, a 1ª Turma admite o requerimento direto de RIFs. Já a 2ª Turma, no AgRg no HC 200.569 (j. 29/10/2024), entendeu que o acesso direto a dados fiscais e a RIFs sem autorização judicial é ilegal. O próprio ministro Dias Toffoli, relator original do Tema 990, acompanhou o voto do ministro Nunes Marques nesse sentido.</w:t>
      </w:r>
      <w:r w:rsidR="00B60F24" w:rsidRPr="003A3653">
        <w:rPr>
          <w:rFonts w:ascii="Times New Roman" w:hAnsi="Times New Roman" w:cs="Times New Roman"/>
        </w:rPr>
        <w:t xml:space="preserve"> Tramita na Corte a ADI 7.624, proposta pelo Conselho Federal da OAB precisamente sobre essa questão, da qual resultará precedente </w:t>
      </w:r>
      <w:r w:rsidR="00B60F24" w:rsidRPr="003A3653">
        <w:rPr>
          <w:rFonts w:ascii="Times New Roman" w:hAnsi="Times New Roman" w:cs="Times New Roman"/>
          <w:bCs/>
        </w:rPr>
        <w:t>“eficácia contra todos e efeito vinculante” (art. 28, parágrafo único, Lei nº 9.868/99).</w:t>
      </w:r>
    </w:p>
    <w:p w14:paraId="7F792BF8" w14:textId="55C19FA4" w:rsidR="00637BDB" w:rsidRPr="003A3653" w:rsidRDefault="00637BDB" w:rsidP="003A3653">
      <w:pPr>
        <w:spacing w:line="360" w:lineRule="auto"/>
        <w:jc w:val="both"/>
        <w:rPr>
          <w:rFonts w:ascii="Times New Roman" w:hAnsi="Times New Roman" w:cs="Times New Roman"/>
        </w:rPr>
      </w:pPr>
      <w:r w:rsidRPr="003A3653">
        <w:rPr>
          <w:rFonts w:ascii="Times New Roman" w:hAnsi="Times New Roman" w:cs="Times New Roman"/>
        </w:rPr>
        <w:t xml:space="preserve">No </w:t>
      </w:r>
      <w:r w:rsidR="00B60F24" w:rsidRPr="003A3653">
        <w:rPr>
          <w:rFonts w:ascii="Times New Roman" w:hAnsi="Times New Roman" w:cs="Times New Roman"/>
        </w:rPr>
        <w:t>STJ</w:t>
      </w:r>
      <w:r w:rsidRPr="003A3653">
        <w:rPr>
          <w:rFonts w:ascii="Times New Roman" w:hAnsi="Times New Roman" w:cs="Times New Roman"/>
        </w:rPr>
        <w:t>, há dissenso entre as turmas criminais. A 5ª Turma admite o requerimento direto desde que haja inquérito formal instaurado (AgRg no HC 193.492, j. 16/4/2024). A 6ª Turma, ao contrário, já consolidou entendimento pela ilegalidade do RIF por encomenda, como nos julgados HC 943.710 e RHC 203.373 (j. 17/12/2024).</w:t>
      </w:r>
      <w:r w:rsidR="00B60F24" w:rsidRPr="003A3653">
        <w:rPr>
          <w:rFonts w:ascii="Times New Roman" w:hAnsi="Times New Roman" w:cs="Times New Roman"/>
        </w:rPr>
        <w:t xml:space="preserve"> </w:t>
      </w:r>
      <w:r w:rsidRPr="003A3653">
        <w:rPr>
          <w:rFonts w:ascii="Times New Roman" w:hAnsi="Times New Roman" w:cs="Times New Roman"/>
        </w:rPr>
        <w:t xml:space="preserve">Diante disso, </w:t>
      </w:r>
      <w:r w:rsidR="00B60F24" w:rsidRPr="003A3653">
        <w:rPr>
          <w:rFonts w:ascii="Times New Roman" w:hAnsi="Times New Roman" w:cs="Times New Roman"/>
        </w:rPr>
        <w:t xml:space="preserve">afetou-se à </w:t>
      </w:r>
      <w:r w:rsidRPr="003A3653">
        <w:rPr>
          <w:rFonts w:ascii="Times New Roman" w:hAnsi="Times New Roman" w:cs="Times New Roman"/>
        </w:rPr>
        <w:t>3ª Seção do STJ o REsp 2.150.571</w:t>
      </w:r>
      <w:r w:rsidR="00B60F24" w:rsidRPr="003A3653">
        <w:rPr>
          <w:rFonts w:ascii="Times New Roman" w:hAnsi="Times New Roman" w:cs="Times New Roman"/>
        </w:rPr>
        <w:t xml:space="preserve">, </w:t>
      </w:r>
      <w:r w:rsidRPr="003A3653">
        <w:rPr>
          <w:rFonts w:ascii="Times New Roman" w:hAnsi="Times New Roman" w:cs="Times New Roman"/>
        </w:rPr>
        <w:t>para uniformizar a jurisprudência. A afetação foi proposta pelo ministro Messod Azulay, após empate na 5ª Turma.</w:t>
      </w:r>
    </w:p>
    <w:p w14:paraId="6698C8FF" w14:textId="00162B07" w:rsidR="00637BDB" w:rsidRPr="003A3653" w:rsidRDefault="00637BDB" w:rsidP="003A3653">
      <w:pPr>
        <w:spacing w:line="360" w:lineRule="auto"/>
        <w:jc w:val="both"/>
        <w:rPr>
          <w:rFonts w:ascii="Times New Roman" w:hAnsi="Times New Roman" w:cs="Times New Roman"/>
        </w:rPr>
      </w:pPr>
      <w:r w:rsidRPr="003A3653">
        <w:rPr>
          <w:rFonts w:ascii="Times New Roman" w:hAnsi="Times New Roman" w:cs="Times New Roman"/>
        </w:rPr>
        <w:t>Esse cenário reforça o ponto central: a decisão na RCL 61.944 impõe</w:t>
      </w:r>
      <w:r w:rsidR="00B60F24" w:rsidRPr="003A3653">
        <w:rPr>
          <w:rFonts w:ascii="Times New Roman" w:hAnsi="Times New Roman" w:cs="Times New Roman"/>
        </w:rPr>
        <w:t xml:space="preserve">, como se unânime e vinculante fosse, </w:t>
      </w:r>
      <w:r w:rsidRPr="003A3653">
        <w:rPr>
          <w:rFonts w:ascii="Times New Roman" w:hAnsi="Times New Roman" w:cs="Times New Roman"/>
        </w:rPr>
        <w:t xml:space="preserve">um entendimento que está longe de ser consolidado. Os fundamentos </w:t>
      </w:r>
      <w:r w:rsidRPr="003A3653">
        <w:rPr>
          <w:rFonts w:ascii="Times New Roman" w:hAnsi="Times New Roman" w:cs="Times New Roman"/>
        </w:rPr>
        <w:lastRenderedPageBreak/>
        <w:t>adotados pela 1ª Turma, além de isolados, colidem com a legislação constitucional e infraconstitucional vigente.</w:t>
      </w:r>
    </w:p>
    <w:p w14:paraId="20B478C8" w14:textId="77777777" w:rsidR="005A0347" w:rsidRPr="003A3653" w:rsidRDefault="005A0347" w:rsidP="003A3653">
      <w:pPr>
        <w:spacing w:line="360" w:lineRule="auto"/>
        <w:jc w:val="both"/>
        <w:rPr>
          <w:rFonts w:ascii="Times New Roman" w:hAnsi="Times New Roman" w:cs="Times New Roman"/>
        </w:rPr>
      </w:pPr>
    </w:p>
    <w:p w14:paraId="61B4435C" w14:textId="640E7258" w:rsidR="00637BDB" w:rsidRPr="003A3653" w:rsidRDefault="00637BDB" w:rsidP="003A3653">
      <w:pPr>
        <w:spacing w:line="360" w:lineRule="auto"/>
        <w:jc w:val="both"/>
        <w:rPr>
          <w:rFonts w:ascii="Times New Roman" w:hAnsi="Times New Roman" w:cs="Times New Roman"/>
          <w:b/>
          <w:bCs/>
        </w:rPr>
      </w:pPr>
      <w:r w:rsidRPr="003A3653">
        <w:rPr>
          <w:rFonts w:ascii="Times New Roman" w:hAnsi="Times New Roman" w:cs="Times New Roman"/>
          <w:b/>
          <w:bCs/>
        </w:rPr>
        <w:t xml:space="preserve">7. Conclusão: </w:t>
      </w:r>
    </w:p>
    <w:p w14:paraId="43BD62FF" w14:textId="77777777" w:rsidR="005A0347" w:rsidRPr="003A3653" w:rsidRDefault="005A0347" w:rsidP="003A3653">
      <w:pPr>
        <w:spacing w:line="360" w:lineRule="auto"/>
        <w:jc w:val="both"/>
        <w:rPr>
          <w:rFonts w:ascii="Times New Roman" w:hAnsi="Times New Roman" w:cs="Times New Roman"/>
          <w:b/>
          <w:bCs/>
        </w:rPr>
      </w:pPr>
    </w:p>
    <w:p w14:paraId="4B1F69D0" w14:textId="77777777" w:rsidR="005A0347" w:rsidRPr="003A3653" w:rsidRDefault="005A0347" w:rsidP="003A3653">
      <w:pPr>
        <w:spacing w:line="360" w:lineRule="auto"/>
        <w:jc w:val="both"/>
        <w:rPr>
          <w:rFonts w:ascii="Times New Roman" w:hAnsi="Times New Roman" w:cs="Times New Roman"/>
        </w:rPr>
      </w:pPr>
      <w:r w:rsidRPr="003A3653">
        <w:rPr>
          <w:rFonts w:ascii="Times New Roman" w:hAnsi="Times New Roman" w:cs="Times New Roman"/>
        </w:rPr>
        <w:t>A decisão da 1ª Turma do STF na RCL 61.944 representa um desvio relevante no sistema de precedentes. Ao aplicar ao caso concreto a tese do Tema 990 — que tratou exclusivamente do compartilhamento espontâneo de dados —, o colegiado validou, sem a devida fundamentação, uma prática que jamais foi objeto de deliberação institucional.</w:t>
      </w:r>
    </w:p>
    <w:p w14:paraId="0F2B2A68" w14:textId="2B2A44CE" w:rsidR="005A0347" w:rsidRPr="003A3653" w:rsidRDefault="005A0347" w:rsidP="003A3653">
      <w:pPr>
        <w:spacing w:line="360" w:lineRule="auto"/>
        <w:jc w:val="both"/>
        <w:rPr>
          <w:rFonts w:ascii="Times New Roman" w:hAnsi="Times New Roman" w:cs="Times New Roman"/>
        </w:rPr>
      </w:pPr>
      <w:r w:rsidRPr="003A3653">
        <w:rPr>
          <w:rFonts w:ascii="Times New Roman" w:hAnsi="Times New Roman" w:cs="Times New Roman"/>
        </w:rPr>
        <w:t xml:space="preserve">Esse entendimento, </w:t>
      </w:r>
      <w:r w:rsidR="00B60F24" w:rsidRPr="003A3653">
        <w:rPr>
          <w:rFonts w:ascii="Times New Roman" w:hAnsi="Times New Roman" w:cs="Times New Roman"/>
        </w:rPr>
        <w:t xml:space="preserve">sobrepõe </w:t>
      </w:r>
      <w:r w:rsidRPr="003A3653">
        <w:rPr>
          <w:rFonts w:ascii="Times New Roman" w:hAnsi="Times New Roman" w:cs="Times New Roman"/>
        </w:rPr>
        <w:t xml:space="preserve">recomendações </w:t>
      </w:r>
      <w:r w:rsidR="00B60F24" w:rsidRPr="003A3653">
        <w:rPr>
          <w:rFonts w:ascii="Times New Roman" w:hAnsi="Times New Roman" w:cs="Times New Roman"/>
        </w:rPr>
        <w:t xml:space="preserve">– não imposições – </w:t>
      </w:r>
      <w:r w:rsidRPr="003A3653">
        <w:rPr>
          <w:rFonts w:ascii="Times New Roman" w:hAnsi="Times New Roman" w:cs="Times New Roman"/>
        </w:rPr>
        <w:t>internacionais</w:t>
      </w:r>
      <w:r w:rsidR="00B60F24" w:rsidRPr="003A3653">
        <w:rPr>
          <w:rFonts w:ascii="Times New Roman" w:hAnsi="Times New Roman" w:cs="Times New Roman"/>
        </w:rPr>
        <w:t xml:space="preserve"> à </w:t>
      </w:r>
      <w:r w:rsidRPr="003A3653">
        <w:rPr>
          <w:rFonts w:ascii="Times New Roman" w:hAnsi="Times New Roman" w:cs="Times New Roman"/>
        </w:rPr>
        <w:t xml:space="preserve">legislação infraconstitucional </w:t>
      </w:r>
      <w:r w:rsidR="00B60F24" w:rsidRPr="003A3653">
        <w:rPr>
          <w:rFonts w:ascii="Times New Roman" w:hAnsi="Times New Roman" w:cs="Times New Roman"/>
        </w:rPr>
        <w:t>específica e mais recente sobre a matéria</w:t>
      </w:r>
      <w:r w:rsidRPr="003A3653">
        <w:rPr>
          <w:rFonts w:ascii="Times New Roman" w:hAnsi="Times New Roman" w:cs="Times New Roman"/>
        </w:rPr>
        <w:t>, relativiza garantias processuais e rompe com a coerência exigida dos precedentes qualificados.</w:t>
      </w:r>
    </w:p>
    <w:p w14:paraId="06068318" w14:textId="77777777" w:rsidR="005A0347" w:rsidRPr="003A3653" w:rsidRDefault="005A0347" w:rsidP="003A3653">
      <w:pPr>
        <w:spacing w:line="360" w:lineRule="auto"/>
        <w:jc w:val="both"/>
        <w:rPr>
          <w:rFonts w:ascii="Times New Roman" w:hAnsi="Times New Roman" w:cs="Times New Roman"/>
        </w:rPr>
      </w:pPr>
      <w:r w:rsidRPr="003A3653">
        <w:rPr>
          <w:rFonts w:ascii="Times New Roman" w:hAnsi="Times New Roman" w:cs="Times New Roman"/>
        </w:rPr>
        <w:t>Diretrizes como as do GAFI devem ser consideradas, mas não podem servir de atalho hermenêutico para suprimir salvaguardas legais previstas no ordenamento jurídico brasileiro.</w:t>
      </w:r>
    </w:p>
    <w:p w14:paraId="42DFE2BF" w14:textId="0F9E58E6" w:rsidR="005A0347" w:rsidRPr="003A3653" w:rsidRDefault="005A0347" w:rsidP="003A3653">
      <w:pPr>
        <w:spacing w:line="360" w:lineRule="auto"/>
        <w:jc w:val="both"/>
        <w:rPr>
          <w:rFonts w:ascii="Times New Roman" w:hAnsi="Times New Roman" w:cs="Times New Roman"/>
        </w:rPr>
      </w:pPr>
      <w:r w:rsidRPr="003A3653">
        <w:rPr>
          <w:rFonts w:ascii="Times New Roman" w:hAnsi="Times New Roman" w:cs="Times New Roman"/>
        </w:rPr>
        <w:t xml:space="preserve">Diante do cenário de divergência jurisprudencial, impõe-se que o STF </w:t>
      </w:r>
      <w:r w:rsidR="007A2503" w:rsidRPr="003A3653">
        <w:rPr>
          <w:rFonts w:ascii="Times New Roman" w:hAnsi="Times New Roman" w:cs="Times New Roman"/>
        </w:rPr>
        <w:t xml:space="preserve">e o STJ </w:t>
      </w:r>
      <w:r w:rsidRPr="003A3653">
        <w:rPr>
          <w:rFonts w:ascii="Times New Roman" w:hAnsi="Times New Roman" w:cs="Times New Roman"/>
        </w:rPr>
        <w:t>enfrente</w:t>
      </w:r>
      <w:r w:rsidR="00B60F24" w:rsidRPr="003A3653">
        <w:rPr>
          <w:rFonts w:ascii="Times New Roman" w:hAnsi="Times New Roman" w:cs="Times New Roman"/>
        </w:rPr>
        <w:t>m</w:t>
      </w:r>
      <w:r w:rsidRPr="003A3653">
        <w:rPr>
          <w:rFonts w:ascii="Times New Roman" w:hAnsi="Times New Roman" w:cs="Times New Roman"/>
        </w:rPr>
        <w:t xml:space="preserve">, de modo claro e definitivo, </w:t>
      </w:r>
      <w:r w:rsidR="007A2503" w:rsidRPr="003A3653">
        <w:rPr>
          <w:rFonts w:ascii="Times New Roman" w:hAnsi="Times New Roman" w:cs="Times New Roman"/>
        </w:rPr>
        <w:t xml:space="preserve">da perspectiva constitucional e infraconstitucional, respectivamente, </w:t>
      </w:r>
      <w:r w:rsidRPr="003A3653">
        <w:rPr>
          <w:rFonts w:ascii="Times New Roman" w:hAnsi="Times New Roman" w:cs="Times New Roman"/>
        </w:rPr>
        <w:t xml:space="preserve">o verdadeiro ponto controvertido: a legalidade </w:t>
      </w:r>
      <w:r w:rsidR="007A2503" w:rsidRPr="003A3653">
        <w:rPr>
          <w:rFonts w:ascii="Times New Roman" w:hAnsi="Times New Roman" w:cs="Times New Roman"/>
        </w:rPr>
        <w:t xml:space="preserve">ou não do requerimento direto e sem autorização judicial de acesso aos </w:t>
      </w:r>
      <w:r w:rsidRPr="003A3653">
        <w:rPr>
          <w:rFonts w:ascii="Times New Roman" w:hAnsi="Times New Roman" w:cs="Times New Roman"/>
        </w:rPr>
        <w:t>RIFs por autoridades persecutórias.</w:t>
      </w:r>
    </w:p>
    <w:p w14:paraId="30A064C2" w14:textId="4E68075B" w:rsidR="00637BDB" w:rsidRPr="003A3653" w:rsidRDefault="007A2503" w:rsidP="003A3653">
      <w:pPr>
        <w:spacing w:line="360" w:lineRule="auto"/>
        <w:jc w:val="both"/>
        <w:rPr>
          <w:rFonts w:ascii="Times New Roman" w:hAnsi="Times New Roman" w:cs="Times New Roman"/>
        </w:rPr>
      </w:pPr>
      <w:r w:rsidRPr="003A3653">
        <w:rPr>
          <w:rFonts w:ascii="Times New Roman" w:hAnsi="Times New Roman" w:cs="Times New Roman"/>
        </w:rPr>
        <w:t>Até que a questão seja definitivamente resolvida, incumbe aos atores práticos do processo penal o amadurecimento da discussão, por exemplo sobre os efeitos da superveniência de lei nova</w:t>
      </w:r>
      <w:r w:rsidR="00D773C0" w:rsidRPr="003A3653">
        <w:rPr>
          <w:rFonts w:ascii="Times New Roman" w:hAnsi="Times New Roman" w:cs="Times New Roman"/>
        </w:rPr>
        <w:t xml:space="preserve"> (art. 3º-B, XI, “d” e “e”, CPP)</w:t>
      </w:r>
      <w:r w:rsidRPr="003A3653">
        <w:rPr>
          <w:rFonts w:ascii="Times New Roman" w:hAnsi="Times New Roman" w:cs="Times New Roman"/>
        </w:rPr>
        <w:t xml:space="preserve">, posterior ao Tema 990 </w:t>
      </w:r>
      <w:r w:rsidR="00D773C0" w:rsidRPr="003A3653">
        <w:rPr>
          <w:rFonts w:ascii="Times New Roman" w:hAnsi="Times New Roman" w:cs="Times New Roman"/>
        </w:rPr>
        <w:t xml:space="preserve">— </w:t>
      </w:r>
      <w:r w:rsidRPr="003A3653">
        <w:rPr>
          <w:rFonts w:ascii="Times New Roman" w:hAnsi="Times New Roman" w:cs="Times New Roman"/>
        </w:rPr>
        <w:t>e, claro, posterior ao art. 15 da Lei nº 9.613/98</w:t>
      </w:r>
      <w:r w:rsidR="00D773C0" w:rsidRPr="003A3653">
        <w:rPr>
          <w:rFonts w:ascii="Times New Roman" w:hAnsi="Times New Roman" w:cs="Times New Roman"/>
        </w:rPr>
        <w:t>, analisado para formulação da tese —</w:t>
      </w:r>
      <w:r w:rsidRPr="003A3653">
        <w:rPr>
          <w:rFonts w:ascii="Times New Roman" w:hAnsi="Times New Roman" w:cs="Times New Roman"/>
        </w:rPr>
        <w:t xml:space="preserve">, que </w:t>
      </w:r>
      <w:r w:rsidR="00D773C0" w:rsidRPr="003A3653">
        <w:rPr>
          <w:rFonts w:ascii="Times New Roman" w:hAnsi="Times New Roman" w:cs="Times New Roman"/>
        </w:rPr>
        <w:t>constitui, literalmente, uma cláusula de reserva de jurisdição para decisões sobre pedidos de acesso a dados sigilosos e outros meios de obtenção de prova que restrinjam direitos fundamentais do investigado (exatamente o que é o RIF).</w:t>
      </w:r>
    </w:p>
    <w:p w14:paraId="7E3FC965" w14:textId="77777777" w:rsidR="00637BDB" w:rsidRDefault="00637BDB" w:rsidP="003A3653">
      <w:pPr>
        <w:spacing w:line="360" w:lineRule="auto"/>
        <w:jc w:val="both"/>
        <w:rPr>
          <w:rFonts w:ascii="Times New Roman" w:hAnsi="Times New Roman" w:cs="Times New Roman"/>
          <w:b/>
          <w:bCs/>
        </w:rPr>
      </w:pPr>
    </w:p>
    <w:p w14:paraId="54432B8D" w14:textId="4EF5C1B0" w:rsidR="003A46EA" w:rsidRDefault="003A46EA" w:rsidP="003A46EA">
      <w:pPr>
        <w:spacing w:after="0" w:line="360" w:lineRule="auto"/>
        <w:jc w:val="both"/>
        <w:rPr>
          <w:rFonts w:ascii="Times New Roman" w:hAnsi="Times New Roman" w:cs="Times New Roman"/>
          <w:b/>
          <w:bCs/>
        </w:rPr>
      </w:pPr>
      <w:r>
        <w:rPr>
          <w:rFonts w:ascii="Times New Roman" w:hAnsi="Times New Roman" w:cs="Times New Roman"/>
          <w:b/>
          <w:bCs/>
        </w:rPr>
        <w:t>Referências</w:t>
      </w:r>
    </w:p>
    <w:p w14:paraId="3714D436" w14:textId="77777777" w:rsidR="003A46EA" w:rsidRPr="009A2CCF" w:rsidRDefault="003A46EA" w:rsidP="003A46EA">
      <w:pPr>
        <w:spacing w:after="0" w:line="240" w:lineRule="auto"/>
        <w:jc w:val="both"/>
        <w:rPr>
          <w:rFonts w:ascii="Times New Roman" w:hAnsi="Times New Roman" w:cs="Times New Roman"/>
        </w:rPr>
      </w:pPr>
    </w:p>
    <w:p w14:paraId="6B1BF7E0" w14:textId="725B63E9" w:rsidR="003A46EA" w:rsidRDefault="003A46EA" w:rsidP="003A46EA">
      <w:pPr>
        <w:spacing w:after="0" w:line="240" w:lineRule="auto"/>
        <w:jc w:val="both"/>
        <w:rPr>
          <w:rFonts w:ascii="Times New Roman" w:hAnsi="Times New Roman" w:cs="Times New Roman"/>
        </w:rPr>
      </w:pPr>
      <w:r w:rsidRPr="009A2CCF">
        <w:rPr>
          <w:rFonts w:ascii="Times New Roman" w:hAnsi="Times New Roman" w:cs="Times New Roman"/>
        </w:rPr>
        <w:lastRenderedPageBreak/>
        <w:t xml:space="preserve">ABBOUD, Georges. </w:t>
      </w:r>
      <w:r w:rsidRPr="003A46EA">
        <w:rPr>
          <w:rFonts w:ascii="Times New Roman" w:hAnsi="Times New Roman" w:cs="Times New Roman"/>
        </w:rPr>
        <w:t>Precedente judicial versus jurisprudência dotada de efeito vinculante. In: WAMBIER, Teresa Arruda Alvim (Org.). Direito jurisprudencial. São Paulo: RT, 2012, p. 515.</w:t>
      </w:r>
    </w:p>
    <w:p w14:paraId="3B2C011E" w14:textId="77777777" w:rsidR="003A46EA" w:rsidRDefault="003A46EA" w:rsidP="003A46EA">
      <w:pPr>
        <w:spacing w:after="0" w:line="360" w:lineRule="auto"/>
        <w:jc w:val="both"/>
        <w:rPr>
          <w:rFonts w:ascii="Times New Roman" w:hAnsi="Times New Roman" w:cs="Times New Roman"/>
          <w:b/>
          <w:bCs/>
        </w:rPr>
      </w:pPr>
    </w:p>
    <w:p w14:paraId="57D1AD06" w14:textId="3C01A325" w:rsidR="003A46EA" w:rsidRDefault="003A46EA" w:rsidP="003A46EA">
      <w:pPr>
        <w:spacing w:after="0" w:line="240" w:lineRule="auto"/>
        <w:jc w:val="both"/>
        <w:rPr>
          <w:rFonts w:ascii="Times New Roman" w:hAnsi="Times New Roman" w:cs="Times New Roman"/>
        </w:rPr>
      </w:pPr>
      <w:r>
        <w:rPr>
          <w:rFonts w:ascii="Times New Roman" w:hAnsi="Times New Roman" w:cs="Times New Roman"/>
        </w:rPr>
        <w:t xml:space="preserve">SUPERIOR TRIBUNAL DE JUSTIÇA. </w:t>
      </w:r>
      <w:r w:rsidRPr="003A46EA">
        <w:rPr>
          <w:rFonts w:ascii="Times New Roman" w:hAnsi="Times New Roman" w:cs="Times New Roman"/>
          <w:b/>
          <w:bCs/>
        </w:rPr>
        <w:t>Sexta Turma - STJ - 07/05/2024</w:t>
      </w:r>
      <w:r>
        <w:rPr>
          <w:rFonts w:ascii="Times New Roman" w:hAnsi="Times New Roman" w:cs="Times New Roman"/>
        </w:rPr>
        <w:t xml:space="preserve">. YouTube, 7 maio 2024. Disponível em: </w:t>
      </w:r>
      <w:hyperlink r:id="rId8" w:history="1">
        <w:r w:rsidRPr="00746941">
          <w:rPr>
            <w:rStyle w:val="Hyperlink"/>
            <w:rFonts w:ascii="Times New Roman" w:hAnsi="Times New Roman" w:cs="Times New Roman"/>
          </w:rPr>
          <w:t>https://youtu.be/IdpFWNOuUK0?t=2706</w:t>
        </w:r>
      </w:hyperlink>
      <w:r w:rsidRPr="003A46EA">
        <w:rPr>
          <w:rFonts w:ascii="Times New Roman" w:hAnsi="Times New Roman" w:cs="Times New Roman"/>
        </w:rPr>
        <w:t>.</w:t>
      </w:r>
      <w:r>
        <w:rPr>
          <w:rFonts w:ascii="Times New Roman" w:hAnsi="Times New Roman" w:cs="Times New Roman"/>
        </w:rPr>
        <w:t xml:space="preserve"> </w:t>
      </w:r>
    </w:p>
    <w:p w14:paraId="19170258" w14:textId="77777777" w:rsidR="003A46EA" w:rsidRDefault="003A46EA" w:rsidP="003A46EA">
      <w:pPr>
        <w:spacing w:after="0" w:line="240" w:lineRule="auto"/>
        <w:jc w:val="both"/>
        <w:rPr>
          <w:rFonts w:ascii="Times New Roman" w:hAnsi="Times New Roman" w:cs="Times New Roman"/>
        </w:rPr>
      </w:pPr>
    </w:p>
    <w:p w14:paraId="78D04F70" w14:textId="34123213" w:rsidR="003A46EA" w:rsidRPr="003A3653" w:rsidRDefault="008D69A3" w:rsidP="003A46EA">
      <w:pPr>
        <w:spacing w:after="0" w:line="240" w:lineRule="auto"/>
        <w:jc w:val="both"/>
        <w:rPr>
          <w:rFonts w:ascii="Times New Roman" w:hAnsi="Times New Roman" w:cs="Times New Roman"/>
          <w:b/>
          <w:bCs/>
        </w:rPr>
      </w:pPr>
      <w:r w:rsidRPr="008D69A3">
        <w:rPr>
          <w:rFonts w:ascii="Times New Roman" w:hAnsi="Times New Roman" w:cs="Times New Roman"/>
        </w:rPr>
        <w:t xml:space="preserve">SUPREMO TRIBUNAL FEDERAL. </w:t>
      </w:r>
      <w:r w:rsidRPr="008D69A3">
        <w:rPr>
          <w:rFonts w:ascii="Times New Roman" w:hAnsi="Times New Roman" w:cs="Times New Roman"/>
          <w:b/>
          <w:bCs/>
        </w:rPr>
        <w:t>Segunda Turma do STF - 29/10/2024</w:t>
      </w:r>
      <w:r w:rsidRPr="008D69A3">
        <w:rPr>
          <w:rFonts w:ascii="Times New Roman" w:hAnsi="Times New Roman" w:cs="Times New Roman"/>
        </w:rPr>
        <w:t xml:space="preserve">. YouTube, 29 out. 2024. Disponível em: </w:t>
      </w:r>
      <w:hyperlink r:id="rId9" w:history="1">
        <w:r w:rsidRPr="008D69A3">
          <w:rPr>
            <w:rFonts w:ascii="Times New Roman" w:eastAsia="Times New Roman" w:hAnsi="Times New Roman" w:cs="Times New Roman"/>
            <w:color w:val="467886"/>
            <w:kern w:val="0"/>
            <w:u w:val="single"/>
            <w:lang w:eastAsia="pt-BR"/>
            <w14:ligatures w14:val="none"/>
          </w:rPr>
          <w:t>https://youtu.be/mUMEPP7NY0s?t=871</w:t>
        </w:r>
      </w:hyperlink>
      <w:r w:rsidRPr="008D69A3">
        <w:rPr>
          <w:rFonts w:ascii="Times New Roman" w:hAnsi="Times New Roman" w:cs="Times New Roman"/>
        </w:rPr>
        <w:t>. Acesso em 1º abr. 2025.</w:t>
      </w:r>
    </w:p>
    <w:sectPr w:rsidR="003A46EA" w:rsidRPr="003A3653" w:rsidSect="00C164E6">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C930" w14:textId="77777777" w:rsidR="00077B67" w:rsidRDefault="00077B67" w:rsidP="00E6609B">
      <w:pPr>
        <w:spacing w:after="0" w:line="240" w:lineRule="auto"/>
      </w:pPr>
      <w:r>
        <w:separator/>
      </w:r>
    </w:p>
  </w:endnote>
  <w:endnote w:type="continuationSeparator" w:id="0">
    <w:p w14:paraId="5CBA48AE" w14:textId="77777777" w:rsidR="00077B67" w:rsidRDefault="00077B67" w:rsidP="00E6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A25E" w14:textId="77777777" w:rsidR="00077B67" w:rsidRDefault="00077B67" w:rsidP="00E6609B">
      <w:pPr>
        <w:spacing w:after="0" w:line="240" w:lineRule="auto"/>
      </w:pPr>
      <w:r>
        <w:separator/>
      </w:r>
    </w:p>
  </w:footnote>
  <w:footnote w:type="continuationSeparator" w:id="0">
    <w:p w14:paraId="25ED9F7A" w14:textId="77777777" w:rsidR="00077B67" w:rsidRDefault="00077B67" w:rsidP="00E6609B">
      <w:pPr>
        <w:spacing w:after="0" w:line="240" w:lineRule="auto"/>
      </w:pPr>
      <w:r>
        <w:continuationSeparator/>
      </w:r>
    </w:p>
  </w:footnote>
  <w:footnote w:id="1">
    <w:p w14:paraId="13FD53A4" w14:textId="77777777" w:rsidR="004777E0" w:rsidRPr="008D69A3" w:rsidRDefault="004777E0" w:rsidP="008D69A3">
      <w:pPr>
        <w:jc w:val="both"/>
        <w:rPr>
          <w:rFonts w:ascii="Times New Roman" w:hAnsi="Times New Roman" w:cs="Times New Roman"/>
          <w:sz w:val="20"/>
          <w:szCs w:val="20"/>
        </w:rPr>
      </w:pPr>
      <w:r w:rsidRPr="008D69A3">
        <w:rPr>
          <w:rStyle w:val="Refdenotaderodap"/>
          <w:rFonts w:ascii="Times New Roman" w:hAnsi="Times New Roman" w:cs="Times New Roman"/>
          <w:sz w:val="20"/>
          <w:szCs w:val="20"/>
        </w:rPr>
        <w:footnoteRef/>
      </w:r>
      <w:r w:rsidRPr="009A2CCF">
        <w:rPr>
          <w:rFonts w:ascii="Times New Roman" w:hAnsi="Times New Roman" w:cs="Times New Roman"/>
          <w:sz w:val="20"/>
          <w:szCs w:val="20"/>
        </w:rPr>
        <w:t xml:space="preserve"> ABBOUD, Georges. </w:t>
      </w:r>
      <w:r w:rsidRPr="008D69A3">
        <w:rPr>
          <w:rFonts w:ascii="Times New Roman" w:hAnsi="Times New Roman" w:cs="Times New Roman"/>
          <w:sz w:val="20"/>
          <w:szCs w:val="20"/>
        </w:rPr>
        <w:t>Precedente judicial versus jurisprudência dotada de efeito vinculante. In: WAMBIER, Teresa Arruda Alvim (Org.). Direito jurisprudencial. São Paulo: RT, 2012, p. 515.</w:t>
      </w:r>
    </w:p>
    <w:p w14:paraId="316A4EC5" w14:textId="787E759E" w:rsidR="004777E0" w:rsidRPr="008D69A3" w:rsidRDefault="004777E0" w:rsidP="008D69A3">
      <w:pPr>
        <w:pStyle w:val="Textodenotaderodap"/>
        <w:jc w:val="both"/>
        <w:rPr>
          <w:rFonts w:ascii="Times New Roman" w:hAnsi="Times New Roman" w:cs="Times New Roman"/>
        </w:rPr>
      </w:pPr>
    </w:p>
  </w:footnote>
  <w:footnote w:id="2">
    <w:p w14:paraId="1109F96A" w14:textId="47DB53A9" w:rsidR="003A46EA" w:rsidRPr="008D69A3" w:rsidRDefault="003A46EA" w:rsidP="008D69A3">
      <w:pPr>
        <w:pStyle w:val="Textodenotaderodap"/>
        <w:jc w:val="both"/>
        <w:rPr>
          <w:rFonts w:ascii="Times New Roman" w:hAnsi="Times New Roman" w:cs="Times New Roman"/>
        </w:rPr>
      </w:pPr>
      <w:r w:rsidRPr="008D69A3">
        <w:rPr>
          <w:rStyle w:val="Refdenotaderodap"/>
          <w:rFonts w:ascii="Times New Roman" w:hAnsi="Times New Roman" w:cs="Times New Roman"/>
        </w:rPr>
        <w:footnoteRef/>
      </w:r>
      <w:r w:rsidRPr="008D69A3">
        <w:rPr>
          <w:rFonts w:ascii="Times New Roman" w:hAnsi="Times New Roman" w:cs="Times New Roman"/>
        </w:rPr>
        <w:t xml:space="preserve"> SUPERIOR TRIBUNAL DE JUSTIÇA. </w:t>
      </w:r>
      <w:r w:rsidRPr="008D69A3">
        <w:rPr>
          <w:rFonts w:ascii="Times New Roman" w:hAnsi="Times New Roman" w:cs="Times New Roman"/>
          <w:b/>
          <w:bCs/>
        </w:rPr>
        <w:t>Sexta Turma - STJ - 07/05/2024</w:t>
      </w:r>
      <w:r w:rsidRPr="008D69A3">
        <w:rPr>
          <w:rFonts w:ascii="Times New Roman" w:hAnsi="Times New Roman" w:cs="Times New Roman"/>
        </w:rPr>
        <w:t xml:space="preserve">. YouTube, 7 maio 2024. Disponível em: </w:t>
      </w:r>
      <w:hyperlink r:id="rId1" w:history="1">
        <w:r w:rsidRPr="008D69A3">
          <w:rPr>
            <w:rStyle w:val="Hyperlink"/>
            <w:rFonts w:ascii="Times New Roman" w:hAnsi="Times New Roman" w:cs="Times New Roman"/>
          </w:rPr>
          <w:t>https://youtu.be/IdpFWNOuUK0?t=2706</w:t>
        </w:r>
      </w:hyperlink>
      <w:r w:rsidRPr="008D69A3">
        <w:rPr>
          <w:rFonts w:ascii="Times New Roman" w:hAnsi="Times New Roman" w:cs="Times New Roman"/>
        </w:rPr>
        <w:t>. Acesso em 1º abr. 2025. A partir de 00:45:29 da gravação da sessão.</w:t>
      </w:r>
    </w:p>
  </w:footnote>
  <w:footnote w:id="3">
    <w:p w14:paraId="6322641E" w14:textId="66C77CDD" w:rsidR="008D69A3" w:rsidRPr="008D69A3" w:rsidRDefault="008D69A3" w:rsidP="008D69A3">
      <w:pPr>
        <w:pStyle w:val="Textodenotaderodap"/>
        <w:jc w:val="both"/>
        <w:rPr>
          <w:rFonts w:ascii="Times New Roman" w:hAnsi="Times New Roman" w:cs="Times New Roman"/>
        </w:rPr>
      </w:pPr>
      <w:r w:rsidRPr="008D69A3">
        <w:rPr>
          <w:rStyle w:val="Refdenotaderodap"/>
          <w:rFonts w:ascii="Times New Roman" w:hAnsi="Times New Roman" w:cs="Times New Roman"/>
        </w:rPr>
        <w:footnoteRef/>
      </w:r>
      <w:r w:rsidRPr="008D69A3">
        <w:rPr>
          <w:rFonts w:ascii="Times New Roman" w:hAnsi="Times New Roman" w:cs="Times New Roman"/>
        </w:rPr>
        <w:t xml:space="preserve"> SUPREMO TRIBUNAL FEDERAL. </w:t>
      </w:r>
      <w:r w:rsidRPr="008D69A3">
        <w:rPr>
          <w:rFonts w:ascii="Times New Roman" w:hAnsi="Times New Roman" w:cs="Times New Roman"/>
          <w:b/>
          <w:bCs/>
        </w:rPr>
        <w:t>Segunda Turma do STF - 29/10/2024</w:t>
      </w:r>
      <w:r w:rsidRPr="008D69A3">
        <w:rPr>
          <w:rFonts w:ascii="Times New Roman" w:hAnsi="Times New Roman" w:cs="Times New Roman"/>
        </w:rPr>
        <w:t xml:space="preserve">. YouTube, 29 out. 2024. Disponível em: </w:t>
      </w:r>
      <w:hyperlink r:id="rId2" w:history="1">
        <w:r w:rsidRPr="008D69A3">
          <w:rPr>
            <w:rFonts w:ascii="Times New Roman" w:eastAsia="Times New Roman" w:hAnsi="Times New Roman" w:cs="Times New Roman"/>
            <w:color w:val="467886"/>
            <w:kern w:val="0"/>
            <w:u w:val="single"/>
            <w:lang w:eastAsia="pt-BR"/>
            <w14:ligatures w14:val="none"/>
          </w:rPr>
          <w:t>https://youtu.be/mUMEPP7NY0s?t=871</w:t>
        </w:r>
      </w:hyperlink>
      <w:r w:rsidRPr="008D69A3">
        <w:rPr>
          <w:rFonts w:ascii="Times New Roman" w:hAnsi="Times New Roman" w:cs="Times New Roman"/>
        </w:rPr>
        <w:t>. Acesso em 1º abr. 2025. A partir de 33:58 da gravação da sessão.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3DF"/>
    <w:multiLevelType w:val="hybridMultilevel"/>
    <w:tmpl w:val="EC6EC88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165B5F"/>
    <w:multiLevelType w:val="hybridMultilevel"/>
    <w:tmpl w:val="4658EF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64257321">
    <w:abstractNumId w:val="1"/>
  </w:num>
  <w:num w:numId="2" w16cid:durableId="139828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DF"/>
    <w:rsid w:val="00041861"/>
    <w:rsid w:val="000708DB"/>
    <w:rsid w:val="00070E30"/>
    <w:rsid w:val="00077B67"/>
    <w:rsid w:val="000A19FA"/>
    <w:rsid w:val="000A75D5"/>
    <w:rsid w:val="002D48EA"/>
    <w:rsid w:val="00316518"/>
    <w:rsid w:val="00347932"/>
    <w:rsid w:val="003522DE"/>
    <w:rsid w:val="003810B2"/>
    <w:rsid w:val="003A3653"/>
    <w:rsid w:val="003A46EA"/>
    <w:rsid w:val="003A4A05"/>
    <w:rsid w:val="003B1095"/>
    <w:rsid w:val="003C5C2B"/>
    <w:rsid w:val="003C756B"/>
    <w:rsid w:val="003E1E9F"/>
    <w:rsid w:val="004068E3"/>
    <w:rsid w:val="0040757D"/>
    <w:rsid w:val="00446EE7"/>
    <w:rsid w:val="004777E0"/>
    <w:rsid w:val="00520BA9"/>
    <w:rsid w:val="005A0347"/>
    <w:rsid w:val="005C10E6"/>
    <w:rsid w:val="00637BDB"/>
    <w:rsid w:val="006624C4"/>
    <w:rsid w:val="006773AC"/>
    <w:rsid w:val="006C21C3"/>
    <w:rsid w:val="006D1E1B"/>
    <w:rsid w:val="006E5B00"/>
    <w:rsid w:val="00707107"/>
    <w:rsid w:val="00712283"/>
    <w:rsid w:val="00756DA1"/>
    <w:rsid w:val="007927C3"/>
    <w:rsid w:val="007A2503"/>
    <w:rsid w:val="007E5F49"/>
    <w:rsid w:val="007E7A00"/>
    <w:rsid w:val="00820B7A"/>
    <w:rsid w:val="00883104"/>
    <w:rsid w:val="008B02EF"/>
    <w:rsid w:val="008D69A3"/>
    <w:rsid w:val="00901540"/>
    <w:rsid w:val="009A2CCF"/>
    <w:rsid w:val="009B1481"/>
    <w:rsid w:val="009B519B"/>
    <w:rsid w:val="00A1178A"/>
    <w:rsid w:val="00A265BB"/>
    <w:rsid w:val="00A64779"/>
    <w:rsid w:val="00A94FC6"/>
    <w:rsid w:val="00A97CDF"/>
    <w:rsid w:val="00AA1AB1"/>
    <w:rsid w:val="00AC5C70"/>
    <w:rsid w:val="00AE6A5C"/>
    <w:rsid w:val="00B60F24"/>
    <w:rsid w:val="00BC4316"/>
    <w:rsid w:val="00BF650A"/>
    <w:rsid w:val="00C164E6"/>
    <w:rsid w:val="00C31ADC"/>
    <w:rsid w:val="00C95CDA"/>
    <w:rsid w:val="00CD1E12"/>
    <w:rsid w:val="00CE0D53"/>
    <w:rsid w:val="00CE50DA"/>
    <w:rsid w:val="00CE5221"/>
    <w:rsid w:val="00D24C34"/>
    <w:rsid w:val="00D773C0"/>
    <w:rsid w:val="00DA2D2A"/>
    <w:rsid w:val="00E6609B"/>
    <w:rsid w:val="00E76BE5"/>
    <w:rsid w:val="00E80483"/>
    <w:rsid w:val="00EA5793"/>
    <w:rsid w:val="00ED039F"/>
    <w:rsid w:val="00F26DE7"/>
    <w:rsid w:val="00F47511"/>
    <w:rsid w:val="00FC31F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0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E6"/>
  </w:style>
  <w:style w:type="paragraph" w:styleId="Ttulo1">
    <w:name w:val="heading 1"/>
    <w:basedOn w:val="Normal"/>
    <w:next w:val="Normal"/>
    <w:link w:val="Ttulo1Char"/>
    <w:uiPriority w:val="9"/>
    <w:qFormat/>
    <w:rsid w:val="00A97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7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7C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7C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7C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7C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7C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7C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7CD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7CD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7CD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7CD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7CD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7CD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7CD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7CD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7CD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7CDF"/>
    <w:rPr>
      <w:rFonts w:eastAsiaTheme="majorEastAsia" w:cstheme="majorBidi"/>
      <w:color w:val="272727" w:themeColor="text1" w:themeTint="D8"/>
    </w:rPr>
  </w:style>
  <w:style w:type="paragraph" w:styleId="Ttulo">
    <w:name w:val="Title"/>
    <w:basedOn w:val="Normal"/>
    <w:next w:val="Normal"/>
    <w:link w:val="TtuloChar"/>
    <w:uiPriority w:val="10"/>
    <w:qFormat/>
    <w:rsid w:val="00A97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7C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7CD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7CD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7CDF"/>
    <w:pPr>
      <w:spacing w:before="160"/>
      <w:jc w:val="center"/>
    </w:pPr>
    <w:rPr>
      <w:i/>
      <w:iCs/>
      <w:color w:val="404040" w:themeColor="text1" w:themeTint="BF"/>
    </w:rPr>
  </w:style>
  <w:style w:type="character" w:customStyle="1" w:styleId="CitaoChar">
    <w:name w:val="Citação Char"/>
    <w:basedOn w:val="Fontepargpadro"/>
    <w:link w:val="Citao"/>
    <w:uiPriority w:val="29"/>
    <w:rsid w:val="00A97CDF"/>
    <w:rPr>
      <w:i/>
      <w:iCs/>
      <w:color w:val="404040" w:themeColor="text1" w:themeTint="BF"/>
    </w:rPr>
  </w:style>
  <w:style w:type="paragraph" w:styleId="PargrafodaLista">
    <w:name w:val="List Paragraph"/>
    <w:basedOn w:val="Normal"/>
    <w:uiPriority w:val="34"/>
    <w:qFormat/>
    <w:rsid w:val="00A97CDF"/>
    <w:pPr>
      <w:ind w:left="720"/>
      <w:contextualSpacing/>
    </w:pPr>
  </w:style>
  <w:style w:type="character" w:styleId="nfaseIntensa">
    <w:name w:val="Intense Emphasis"/>
    <w:basedOn w:val="Fontepargpadro"/>
    <w:uiPriority w:val="21"/>
    <w:qFormat/>
    <w:rsid w:val="00A97CDF"/>
    <w:rPr>
      <w:i/>
      <w:iCs/>
      <w:color w:val="0F4761" w:themeColor="accent1" w:themeShade="BF"/>
    </w:rPr>
  </w:style>
  <w:style w:type="paragraph" w:styleId="CitaoIntensa">
    <w:name w:val="Intense Quote"/>
    <w:basedOn w:val="Normal"/>
    <w:next w:val="Normal"/>
    <w:link w:val="CitaoIntensaChar"/>
    <w:uiPriority w:val="30"/>
    <w:qFormat/>
    <w:rsid w:val="00A97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7CDF"/>
    <w:rPr>
      <w:i/>
      <w:iCs/>
      <w:color w:val="0F4761" w:themeColor="accent1" w:themeShade="BF"/>
    </w:rPr>
  </w:style>
  <w:style w:type="character" w:styleId="RefernciaIntensa">
    <w:name w:val="Intense Reference"/>
    <w:basedOn w:val="Fontepargpadro"/>
    <w:uiPriority w:val="32"/>
    <w:qFormat/>
    <w:rsid w:val="00A97CDF"/>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E660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09B"/>
    <w:rPr>
      <w:sz w:val="20"/>
      <w:szCs w:val="20"/>
    </w:rPr>
  </w:style>
  <w:style w:type="character" w:styleId="Refdenotaderodap">
    <w:name w:val="footnote reference"/>
    <w:basedOn w:val="Fontepargpadro"/>
    <w:uiPriority w:val="99"/>
    <w:semiHidden/>
    <w:unhideWhenUsed/>
    <w:rsid w:val="00E6609B"/>
    <w:rPr>
      <w:vertAlign w:val="superscript"/>
    </w:rPr>
  </w:style>
  <w:style w:type="paragraph" w:styleId="Reviso">
    <w:name w:val="Revision"/>
    <w:hidden/>
    <w:uiPriority w:val="99"/>
    <w:semiHidden/>
    <w:rsid w:val="0040757D"/>
    <w:pPr>
      <w:spacing w:after="0" w:line="240" w:lineRule="auto"/>
    </w:pPr>
  </w:style>
  <w:style w:type="character" w:styleId="Refdecomentrio">
    <w:name w:val="annotation reference"/>
    <w:basedOn w:val="Fontepargpadro"/>
    <w:uiPriority w:val="99"/>
    <w:semiHidden/>
    <w:unhideWhenUsed/>
    <w:rsid w:val="00F26DE7"/>
    <w:rPr>
      <w:sz w:val="16"/>
      <w:szCs w:val="16"/>
    </w:rPr>
  </w:style>
  <w:style w:type="paragraph" w:styleId="Textodecomentrio">
    <w:name w:val="annotation text"/>
    <w:basedOn w:val="Normal"/>
    <w:link w:val="TextodecomentrioChar"/>
    <w:uiPriority w:val="99"/>
    <w:unhideWhenUsed/>
    <w:rsid w:val="00F26DE7"/>
    <w:pPr>
      <w:spacing w:line="240" w:lineRule="auto"/>
    </w:pPr>
    <w:rPr>
      <w:sz w:val="20"/>
      <w:szCs w:val="20"/>
    </w:rPr>
  </w:style>
  <w:style w:type="character" w:customStyle="1" w:styleId="TextodecomentrioChar">
    <w:name w:val="Texto de comentário Char"/>
    <w:basedOn w:val="Fontepargpadro"/>
    <w:link w:val="Textodecomentrio"/>
    <w:uiPriority w:val="99"/>
    <w:rsid w:val="00F26DE7"/>
    <w:rPr>
      <w:sz w:val="20"/>
      <w:szCs w:val="20"/>
    </w:rPr>
  </w:style>
  <w:style w:type="paragraph" w:styleId="Assuntodocomentrio">
    <w:name w:val="annotation subject"/>
    <w:basedOn w:val="Textodecomentrio"/>
    <w:next w:val="Textodecomentrio"/>
    <w:link w:val="AssuntodocomentrioChar"/>
    <w:uiPriority w:val="99"/>
    <w:semiHidden/>
    <w:unhideWhenUsed/>
    <w:rsid w:val="00F26DE7"/>
    <w:rPr>
      <w:b/>
      <w:bCs/>
    </w:rPr>
  </w:style>
  <w:style w:type="character" w:customStyle="1" w:styleId="AssuntodocomentrioChar">
    <w:name w:val="Assunto do comentário Char"/>
    <w:basedOn w:val="TextodecomentrioChar"/>
    <w:link w:val="Assuntodocomentrio"/>
    <w:uiPriority w:val="99"/>
    <w:semiHidden/>
    <w:rsid w:val="00F26DE7"/>
    <w:rPr>
      <w:b/>
      <w:bCs/>
      <w:sz w:val="20"/>
      <w:szCs w:val="20"/>
    </w:rPr>
  </w:style>
  <w:style w:type="character" w:styleId="Hyperlink">
    <w:name w:val="Hyperlink"/>
    <w:basedOn w:val="Fontepargpadro"/>
    <w:uiPriority w:val="99"/>
    <w:unhideWhenUsed/>
    <w:rsid w:val="003A46EA"/>
    <w:rPr>
      <w:color w:val="467886" w:themeColor="hyperlink"/>
      <w:u w:val="single"/>
    </w:rPr>
  </w:style>
  <w:style w:type="character" w:styleId="MenoPendente">
    <w:name w:val="Unresolved Mention"/>
    <w:basedOn w:val="Fontepargpadro"/>
    <w:uiPriority w:val="99"/>
    <w:semiHidden/>
    <w:unhideWhenUsed/>
    <w:rsid w:val="003A46EA"/>
    <w:rPr>
      <w:color w:val="605E5C"/>
      <w:shd w:val="clear" w:color="auto" w:fill="E1DFDD"/>
    </w:rPr>
  </w:style>
  <w:style w:type="paragraph" w:styleId="Cabealho">
    <w:name w:val="header"/>
    <w:basedOn w:val="Normal"/>
    <w:link w:val="CabealhoChar"/>
    <w:uiPriority w:val="99"/>
    <w:unhideWhenUsed/>
    <w:rsid w:val="005C10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10E6"/>
  </w:style>
  <w:style w:type="paragraph" w:styleId="Rodap">
    <w:name w:val="footer"/>
    <w:basedOn w:val="Normal"/>
    <w:link w:val="RodapChar"/>
    <w:uiPriority w:val="99"/>
    <w:unhideWhenUsed/>
    <w:rsid w:val="005C10E6"/>
    <w:pPr>
      <w:tabs>
        <w:tab w:val="center" w:pos="4252"/>
        <w:tab w:val="right" w:pos="8504"/>
      </w:tabs>
      <w:spacing w:after="0" w:line="240" w:lineRule="auto"/>
    </w:pPr>
  </w:style>
  <w:style w:type="character" w:customStyle="1" w:styleId="RodapChar">
    <w:name w:val="Rodapé Char"/>
    <w:basedOn w:val="Fontepargpadro"/>
    <w:link w:val="Rodap"/>
    <w:uiPriority w:val="99"/>
    <w:rsid w:val="005C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346">
      <w:bodyDiv w:val="1"/>
      <w:marLeft w:val="0"/>
      <w:marRight w:val="0"/>
      <w:marTop w:val="0"/>
      <w:marBottom w:val="0"/>
      <w:divBdr>
        <w:top w:val="none" w:sz="0" w:space="0" w:color="auto"/>
        <w:left w:val="none" w:sz="0" w:space="0" w:color="auto"/>
        <w:bottom w:val="none" w:sz="0" w:space="0" w:color="auto"/>
        <w:right w:val="none" w:sz="0" w:space="0" w:color="auto"/>
      </w:divBdr>
    </w:div>
    <w:div w:id="33311411">
      <w:bodyDiv w:val="1"/>
      <w:marLeft w:val="0"/>
      <w:marRight w:val="0"/>
      <w:marTop w:val="0"/>
      <w:marBottom w:val="0"/>
      <w:divBdr>
        <w:top w:val="none" w:sz="0" w:space="0" w:color="auto"/>
        <w:left w:val="none" w:sz="0" w:space="0" w:color="auto"/>
        <w:bottom w:val="none" w:sz="0" w:space="0" w:color="auto"/>
        <w:right w:val="none" w:sz="0" w:space="0" w:color="auto"/>
      </w:divBdr>
    </w:div>
    <w:div w:id="49307521">
      <w:bodyDiv w:val="1"/>
      <w:marLeft w:val="0"/>
      <w:marRight w:val="0"/>
      <w:marTop w:val="0"/>
      <w:marBottom w:val="0"/>
      <w:divBdr>
        <w:top w:val="none" w:sz="0" w:space="0" w:color="auto"/>
        <w:left w:val="none" w:sz="0" w:space="0" w:color="auto"/>
        <w:bottom w:val="none" w:sz="0" w:space="0" w:color="auto"/>
        <w:right w:val="none" w:sz="0" w:space="0" w:color="auto"/>
      </w:divBdr>
    </w:div>
    <w:div w:id="65806095">
      <w:bodyDiv w:val="1"/>
      <w:marLeft w:val="0"/>
      <w:marRight w:val="0"/>
      <w:marTop w:val="0"/>
      <w:marBottom w:val="0"/>
      <w:divBdr>
        <w:top w:val="none" w:sz="0" w:space="0" w:color="auto"/>
        <w:left w:val="none" w:sz="0" w:space="0" w:color="auto"/>
        <w:bottom w:val="none" w:sz="0" w:space="0" w:color="auto"/>
        <w:right w:val="none" w:sz="0" w:space="0" w:color="auto"/>
      </w:divBdr>
    </w:div>
    <w:div w:id="124278476">
      <w:bodyDiv w:val="1"/>
      <w:marLeft w:val="0"/>
      <w:marRight w:val="0"/>
      <w:marTop w:val="0"/>
      <w:marBottom w:val="0"/>
      <w:divBdr>
        <w:top w:val="none" w:sz="0" w:space="0" w:color="auto"/>
        <w:left w:val="none" w:sz="0" w:space="0" w:color="auto"/>
        <w:bottom w:val="none" w:sz="0" w:space="0" w:color="auto"/>
        <w:right w:val="none" w:sz="0" w:space="0" w:color="auto"/>
      </w:divBdr>
    </w:div>
    <w:div w:id="125860640">
      <w:bodyDiv w:val="1"/>
      <w:marLeft w:val="0"/>
      <w:marRight w:val="0"/>
      <w:marTop w:val="0"/>
      <w:marBottom w:val="0"/>
      <w:divBdr>
        <w:top w:val="none" w:sz="0" w:space="0" w:color="auto"/>
        <w:left w:val="none" w:sz="0" w:space="0" w:color="auto"/>
        <w:bottom w:val="none" w:sz="0" w:space="0" w:color="auto"/>
        <w:right w:val="none" w:sz="0" w:space="0" w:color="auto"/>
      </w:divBdr>
    </w:div>
    <w:div w:id="223151340">
      <w:bodyDiv w:val="1"/>
      <w:marLeft w:val="0"/>
      <w:marRight w:val="0"/>
      <w:marTop w:val="0"/>
      <w:marBottom w:val="0"/>
      <w:divBdr>
        <w:top w:val="none" w:sz="0" w:space="0" w:color="auto"/>
        <w:left w:val="none" w:sz="0" w:space="0" w:color="auto"/>
        <w:bottom w:val="none" w:sz="0" w:space="0" w:color="auto"/>
        <w:right w:val="none" w:sz="0" w:space="0" w:color="auto"/>
      </w:divBdr>
    </w:div>
    <w:div w:id="249823935">
      <w:bodyDiv w:val="1"/>
      <w:marLeft w:val="0"/>
      <w:marRight w:val="0"/>
      <w:marTop w:val="0"/>
      <w:marBottom w:val="0"/>
      <w:divBdr>
        <w:top w:val="none" w:sz="0" w:space="0" w:color="auto"/>
        <w:left w:val="none" w:sz="0" w:space="0" w:color="auto"/>
        <w:bottom w:val="none" w:sz="0" w:space="0" w:color="auto"/>
        <w:right w:val="none" w:sz="0" w:space="0" w:color="auto"/>
      </w:divBdr>
    </w:div>
    <w:div w:id="264194280">
      <w:bodyDiv w:val="1"/>
      <w:marLeft w:val="0"/>
      <w:marRight w:val="0"/>
      <w:marTop w:val="0"/>
      <w:marBottom w:val="0"/>
      <w:divBdr>
        <w:top w:val="none" w:sz="0" w:space="0" w:color="auto"/>
        <w:left w:val="none" w:sz="0" w:space="0" w:color="auto"/>
        <w:bottom w:val="none" w:sz="0" w:space="0" w:color="auto"/>
        <w:right w:val="none" w:sz="0" w:space="0" w:color="auto"/>
      </w:divBdr>
    </w:div>
    <w:div w:id="283344592">
      <w:bodyDiv w:val="1"/>
      <w:marLeft w:val="0"/>
      <w:marRight w:val="0"/>
      <w:marTop w:val="0"/>
      <w:marBottom w:val="0"/>
      <w:divBdr>
        <w:top w:val="none" w:sz="0" w:space="0" w:color="auto"/>
        <w:left w:val="none" w:sz="0" w:space="0" w:color="auto"/>
        <w:bottom w:val="none" w:sz="0" w:space="0" w:color="auto"/>
        <w:right w:val="none" w:sz="0" w:space="0" w:color="auto"/>
      </w:divBdr>
    </w:div>
    <w:div w:id="284704220">
      <w:bodyDiv w:val="1"/>
      <w:marLeft w:val="0"/>
      <w:marRight w:val="0"/>
      <w:marTop w:val="0"/>
      <w:marBottom w:val="0"/>
      <w:divBdr>
        <w:top w:val="none" w:sz="0" w:space="0" w:color="auto"/>
        <w:left w:val="none" w:sz="0" w:space="0" w:color="auto"/>
        <w:bottom w:val="none" w:sz="0" w:space="0" w:color="auto"/>
        <w:right w:val="none" w:sz="0" w:space="0" w:color="auto"/>
      </w:divBdr>
    </w:div>
    <w:div w:id="358165713">
      <w:bodyDiv w:val="1"/>
      <w:marLeft w:val="0"/>
      <w:marRight w:val="0"/>
      <w:marTop w:val="0"/>
      <w:marBottom w:val="0"/>
      <w:divBdr>
        <w:top w:val="none" w:sz="0" w:space="0" w:color="auto"/>
        <w:left w:val="none" w:sz="0" w:space="0" w:color="auto"/>
        <w:bottom w:val="none" w:sz="0" w:space="0" w:color="auto"/>
        <w:right w:val="none" w:sz="0" w:space="0" w:color="auto"/>
      </w:divBdr>
    </w:div>
    <w:div w:id="397097465">
      <w:bodyDiv w:val="1"/>
      <w:marLeft w:val="0"/>
      <w:marRight w:val="0"/>
      <w:marTop w:val="0"/>
      <w:marBottom w:val="0"/>
      <w:divBdr>
        <w:top w:val="none" w:sz="0" w:space="0" w:color="auto"/>
        <w:left w:val="none" w:sz="0" w:space="0" w:color="auto"/>
        <w:bottom w:val="none" w:sz="0" w:space="0" w:color="auto"/>
        <w:right w:val="none" w:sz="0" w:space="0" w:color="auto"/>
      </w:divBdr>
    </w:div>
    <w:div w:id="433597080">
      <w:bodyDiv w:val="1"/>
      <w:marLeft w:val="0"/>
      <w:marRight w:val="0"/>
      <w:marTop w:val="0"/>
      <w:marBottom w:val="0"/>
      <w:divBdr>
        <w:top w:val="none" w:sz="0" w:space="0" w:color="auto"/>
        <w:left w:val="none" w:sz="0" w:space="0" w:color="auto"/>
        <w:bottom w:val="none" w:sz="0" w:space="0" w:color="auto"/>
        <w:right w:val="none" w:sz="0" w:space="0" w:color="auto"/>
      </w:divBdr>
    </w:div>
    <w:div w:id="440760311">
      <w:bodyDiv w:val="1"/>
      <w:marLeft w:val="0"/>
      <w:marRight w:val="0"/>
      <w:marTop w:val="0"/>
      <w:marBottom w:val="0"/>
      <w:divBdr>
        <w:top w:val="none" w:sz="0" w:space="0" w:color="auto"/>
        <w:left w:val="none" w:sz="0" w:space="0" w:color="auto"/>
        <w:bottom w:val="none" w:sz="0" w:space="0" w:color="auto"/>
        <w:right w:val="none" w:sz="0" w:space="0" w:color="auto"/>
      </w:divBdr>
    </w:div>
    <w:div w:id="452208844">
      <w:bodyDiv w:val="1"/>
      <w:marLeft w:val="0"/>
      <w:marRight w:val="0"/>
      <w:marTop w:val="0"/>
      <w:marBottom w:val="0"/>
      <w:divBdr>
        <w:top w:val="none" w:sz="0" w:space="0" w:color="auto"/>
        <w:left w:val="none" w:sz="0" w:space="0" w:color="auto"/>
        <w:bottom w:val="none" w:sz="0" w:space="0" w:color="auto"/>
        <w:right w:val="none" w:sz="0" w:space="0" w:color="auto"/>
      </w:divBdr>
    </w:div>
    <w:div w:id="452554718">
      <w:bodyDiv w:val="1"/>
      <w:marLeft w:val="0"/>
      <w:marRight w:val="0"/>
      <w:marTop w:val="0"/>
      <w:marBottom w:val="0"/>
      <w:divBdr>
        <w:top w:val="none" w:sz="0" w:space="0" w:color="auto"/>
        <w:left w:val="none" w:sz="0" w:space="0" w:color="auto"/>
        <w:bottom w:val="none" w:sz="0" w:space="0" w:color="auto"/>
        <w:right w:val="none" w:sz="0" w:space="0" w:color="auto"/>
      </w:divBdr>
    </w:div>
    <w:div w:id="466511614">
      <w:bodyDiv w:val="1"/>
      <w:marLeft w:val="0"/>
      <w:marRight w:val="0"/>
      <w:marTop w:val="0"/>
      <w:marBottom w:val="0"/>
      <w:divBdr>
        <w:top w:val="none" w:sz="0" w:space="0" w:color="auto"/>
        <w:left w:val="none" w:sz="0" w:space="0" w:color="auto"/>
        <w:bottom w:val="none" w:sz="0" w:space="0" w:color="auto"/>
        <w:right w:val="none" w:sz="0" w:space="0" w:color="auto"/>
      </w:divBdr>
    </w:div>
    <w:div w:id="540290817">
      <w:bodyDiv w:val="1"/>
      <w:marLeft w:val="0"/>
      <w:marRight w:val="0"/>
      <w:marTop w:val="0"/>
      <w:marBottom w:val="0"/>
      <w:divBdr>
        <w:top w:val="none" w:sz="0" w:space="0" w:color="auto"/>
        <w:left w:val="none" w:sz="0" w:space="0" w:color="auto"/>
        <w:bottom w:val="none" w:sz="0" w:space="0" w:color="auto"/>
        <w:right w:val="none" w:sz="0" w:space="0" w:color="auto"/>
      </w:divBdr>
    </w:div>
    <w:div w:id="563683643">
      <w:bodyDiv w:val="1"/>
      <w:marLeft w:val="0"/>
      <w:marRight w:val="0"/>
      <w:marTop w:val="0"/>
      <w:marBottom w:val="0"/>
      <w:divBdr>
        <w:top w:val="none" w:sz="0" w:space="0" w:color="auto"/>
        <w:left w:val="none" w:sz="0" w:space="0" w:color="auto"/>
        <w:bottom w:val="none" w:sz="0" w:space="0" w:color="auto"/>
        <w:right w:val="none" w:sz="0" w:space="0" w:color="auto"/>
      </w:divBdr>
    </w:div>
    <w:div w:id="608702308">
      <w:bodyDiv w:val="1"/>
      <w:marLeft w:val="0"/>
      <w:marRight w:val="0"/>
      <w:marTop w:val="0"/>
      <w:marBottom w:val="0"/>
      <w:divBdr>
        <w:top w:val="none" w:sz="0" w:space="0" w:color="auto"/>
        <w:left w:val="none" w:sz="0" w:space="0" w:color="auto"/>
        <w:bottom w:val="none" w:sz="0" w:space="0" w:color="auto"/>
        <w:right w:val="none" w:sz="0" w:space="0" w:color="auto"/>
      </w:divBdr>
    </w:div>
    <w:div w:id="637493109">
      <w:bodyDiv w:val="1"/>
      <w:marLeft w:val="0"/>
      <w:marRight w:val="0"/>
      <w:marTop w:val="0"/>
      <w:marBottom w:val="0"/>
      <w:divBdr>
        <w:top w:val="none" w:sz="0" w:space="0" w:color="auto"/>
        <w:left w:val="none" w:sz="0" w:space="0" w:color="auto"/>
        <w:bottom w:val="none" w:sz="0" w:space="0" w:color="auto"/>
        <w:right w:val="none" w:sz="0" w:space="0" w:color="auto"/>
      </w:divBdr>
    </w:div>
    <w:div w:id="679241674">
      <w:bodyDiv w:val="1"/>
      <w:marLeft w:val="0"/>
      <w:marRight w:val="0"/>
      <w:marTop w:val="0"/>
      <w:marBottom w:val="0"/>
      <w:divBdr>
        <w:top w:val="none" w:sz="0" w:space="0" w:color="auto"/>
        <w:left w:val="none" w:sz="0" w:space="0" w:color="auto"/>
        <w:bottom w:val="none" w:sz="0" w:space="0" w:color="auto"/>
        <w:right w:val="none" w:sz="0" w:space="0" w:color="auto"/>
      </w:divBdr>
      <w:divsChild>
        <w:div w:id="958023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594082">
      <w:bodyDiv w:val="1"/>
      <w:marLeft w:val="0"/>
      <w:marRight w:val="0"/>
      <w:marTop w:val="0"/>
      <w:marBottom w:val="0"/>
      <w:divBdr>
        <w:top w:val="none" w:sz="0" w:space="0" w:color="auto"/>
        <w:left w:val="none" w:sz="0" w:space="0" w:color="auto"/>
        <w:bottom w:val="none" w:sz="0" w:space="0" w:color="auto"/>
        <w:right w:val="none" w:sz="0" w:space="0" w:color="auto"/>
      </w:divBdr>
    </w:div>
    <w:div w:id="730544982">
      <w:bodyDiv w:val="1"/>
      <w:marLeft w:val="0"/>
      <w:marRight w:val="0"/>
      <w:marTop w:val="0"/>
      <w:marBottom w:val="0"/>
      <w:divBdr>
        <w:top w:val="none" w:sz="0" w:space="0" w:color="auto"/>
        <w:left w:val="none" w:sz="0" w:space="0" w:color="auto"/>
        <w:bottom w:val="none" w:sz="0" w:space="0" w:color="auto"/>
        <w:right w:val="none" w:sz="0" w:space="0" w:color="auto"/>
      </w:divBdr>
    </w:div>
    <w:div w:id="801263544">
      <w:bodyDiv w:val="1"/>
      <w:marLeft w:val="0"/>
      <w:marRight w:val="0"/>
      <w:marTop w:val="0"/>
      <w:marBottom w:val="0"/>
      <w:divBdr>
        <w:top w:val="none" w:sz="0" w:space="0" w:color="auto"/>
        <w:left w:val="none" w:sz="0" w:space="0" w:color="auto"/>
        <w:bottom w:val="none" w:sz="0" w:space="0" w:color="auto"/>
        <w:right w:val="none" w:sz="0" w:space="0" w:color="auto"/>
      </w:divBdr>
    </w:div>
    <w:div w:id="829323266">
      <w:bodyDiv w:val="1"/>
      <w:marLeft w:val="0"/>
      <w:marRight w:val="0"/>
      <w:marTop w:val="0"/>
      <w:marBottom w:val="0"/>
      <w:divBdr>
        <w:top w:val="none" w:sz="0" w:space="0" w:color="auto"/>
        <w:left w:val="none" w:sz="0" w:space="0" w:color="auto"/>
        <w:bottom w:val="none" w:sz="0" w:space="0" w:color="auto"/>
        <w:right w:val="none" w:sz="0" w:space="0" w:color="auto"/>
      </w:divBdr>
      <w:divsChild>
        <w:div w:id="1119453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018444">
      <w:bodyDiv w:val="1"/>
      <w:marLeft w:val="0"/>
      <w:marRight w:val="0"/>
      <w:marTop w:val="0"/>
      <w:marBottom w:val="0"/>
      <w:divBdr>
        <w:top w:val="none" w:sz="0" w:space="0" w:color="auto"/>
        <w:left w:val="none" w:sz="0" w:space="0" w:color="auto"/>
        <w:bottom w:val="none" w:sz="0" w:space="0" w:color="auto"/>
        <w:right w:val="none" w:sz="0" w:space="0" w:color="auto"/>
      </w:divBdr>
    </w:div>
    <w:div w:id="929124764">
      <w:bodyDiv w:val="1"/>
      <w:marLeft w:val="0"/>
      <w:marRight w:val="0"/>
      <w:marTop w:val="0"/>
      <w:marBottom w:val="0"/>
      <w:divBdr>
        <w:top w:val="none" w:sz="0" w:space="0" w:color="auto"/>
        <w:left w:val="none" w:sz="0" w:space="0" w:color="auto"/>
        <w:bottom w:val="none" w:sz="0" w:space="0" w:color="auto"/>
        <w:right w:val="none" w:sz="0" w:space="0" w:color="auto"/>
      </w:divBdr>
      <w:divsChild>
        <w:div w:id="1042562801">
          <w:marLeft w:val="0"/>
          <w:marRight w:val="0"/>
          <w:marTop w:val="0"/>
          <w:marBottom w:val="0"/>
          <w:divBdr>
            <w:top w:val="none" w:sz="0" w:space="0" w:color="auto"/>
            <w:left w:val="none" w:sz="0" w:space="0" w:color="auto"/>
            <w:bottom w:val="none" w:sz="0" w:space="0" w:color="auto"/>
            <w:right w:val="none" w:sz="0" w:space="0" w:color="auto"/>
          </w:divBdr>
        </w:div>
      </w:divsChild>
    </w:div>
    <w:div w:id="1004168508">
      <w:bodyDiv w:val="1"/>
      <w:marLeft w:val="0"/>
      <w:marRight w:val="0"/>
      <w:marTop w:val="0"/>
      <w:marBottom w:val="0"/>
      <w:divBdr>
        <w:top w:val="none" w:sz="0" w:space="0" w:color="auto"/>
        <w:left w:val="none" w:sz="0" w:space="0" w:color="auto"/>
        <w:bottom w:val="none" w:sz="0" w:space="0" w:color="auto"/>
        <w:right w:val="none" w:sz="0" w:space="0" w:color="auto"/>
      </w:divBdr>
    </w:div>
    <w:div w:id="1006979941">
      <w:bodyDiv w:val="1"/>
      <w:marLeft w:val="0"/>
      <w:marRight w:val="0"/>
      <w:marTop w:val="0"/>
      <w:marBottom w:val="0"/>
      <w:divBdr>
        <w:top w:val="none" w:sz="0" w:space="0" w:color="auto"/>
        <w:left w:val="none" w:sz="0" w:space="0" w:color="auto"/>
        <w:bottom w:val="none" w:sz="0" w:space="0" w:color="auto"/>
        <w:right w:val="none" w:sz="0" w:space="0" w:color="auto"/>
      </w:divBdr>
    </w:div>
    <w:div w:id="1039360110">
      <w:bodyDiv w:val="1"/>
      <w:marLeft w:val="0"/>
      <w:marRight w:val="0"/>
      <w:marTop w:val="0"/>
      <w:marBottom w:val="0"/>
      <w:divBdr>
        <w:top w:val="none" w:sz="0" w:space="0" w:color="auto"/>
        <w:left w:val="none" w:sz="0" w:space="0" w:color="auto"/>
        <w:bottom w:val="none" w:sz="0" w:space="0" w:color="auto"/>
        <w:right w:val="none" w:sz="0" w:space="0" w:color="auto"/>
      </w:divBdr>
    </w:div>
    <w:div w:id="1046173983">
      <w:bodyDiv w:val="1"/>
      <w:marLeft w:val="0"/>
      <w:marRight w:val="0"/>
      <w:marTop w:val="0"/>
      <w:marBottom w:val="0"/>
      <w:divBdr>
        <w:top w:val="none" w:sz="0" w:space="0" w:color="auto"/>
        <w:left w:val="none" w:sz="0" w:space="0" w:color="auto"/>
        <w:bottom w:val="none" w:sz="0" w:space="0" w:color="auto"/>
        <w:right w:val="none" w:sz="0" w:space="0" w:color="auto"/>
      </w:divBdr>
    </w:div>
    <w:div w:id="1074275044">
      <w:bodyDiv w:val="1"/>
      <w:marLeft w:val="0"/>
      <w:marRight w:val="0"/>
      <w:marTop w:val="0"/>
      <w:marBottom w:val="0"/>
      <w:divBdr>
        <w:top w:val="none" w:sz="0" w:space="0" w:color="auto"/>
        <w:left w:val="none" w:sz="0" w:space="0" w:color="auto"/>
        <w:bottom w:val="none" w:sz="0" w:space="0" w:color="auto"/>
        <w:right w:val="none" w:sz="0" w:space="0" w:color="auto"/>
      </w:divBdr>
    </w:div>
    <w:div w:id="1084960292">
      <w:bodyDiv w:val="1"/>
      <w:marLeft w:val="0"/>
      <w:marRight w:val="0"/>
      <w:marTop w:val="0"/>
      <w:marBottom w:val="0"/>
      <w:divBdr>
        <w:top w:val="none" w:sz="0" w:space="0" w:color="auto"/>
        <w:left w:val="none" w:sz="0" w:space="0" w:color="auto"/>
        <w:bottom w:val="none" w:sz="0" w:space="0" w:color="auto"/>
        <w:right w:val="none" w:sz="0" w:space="0" w:color="auto"/>
      </w:divBdr>
    </w:div>
    <w:div w:id="1119953954">
      <w:bodyDiv w:val="1"/>
      <w:marLeft w:val="0"/>
      <w:marRight w:val="0"/>
      <w:marTop w:val="0"/>
      <w:marBottom w:val="0"/>
      <w:divBdr>
        <w:top w:val="none" w:sz="0" w:space="0" w:color="auto"/>
        <w:left w:val="none" w:sz="0" w:space="0" w:color="auto"/>
        <w:bottom w:val="none" w:sz="0" w:space="0" w:color="auto"/>
        <w:right w:val="none" w:sz="0" w:space="0" w:color="auto"/>
      </w:divBdr>
      <w:divsChild>
        <w:div w:id="1812138543">
          <w:marLeft w:val="0"/>
          <w:marRight w:val="0"/>
          <w:marTop w:val="0"/>
          <w:marBottom w:val="0"/>
          <w:divBdr>
            <w:top w:val="none" w:sz="0" w:space="0" w:color="auto"/>
            <w:left w:val="none" w:sz="0" w:space="0" w:color="auto"/>
            <w:bottom w:val="none" w:sz="0" w:space="0" w:color="auto"/>
            <w:right w:val="none" w:sz="0" w:space="0" w:color="auto"/>
          </w:divBdr>
        </w:div>
      </w:divsChild>
    </w:div>
    <w:div w:id="1130056034">
      <w:bodyDiv w:val="1"/>
      <w:marLeft w:val="0"/>
      <w:marRight w:val="0"/>
      <w:marTop w:val="0"/>
      <w:marBottom w:val="0"/>
      <w:divBdr>
        <w:top w:val="none" w:sz="0" w:space="0" w:color="auto"/>
        <w:left w:val="none" w:sz="0" w:space="0" w:color="auto"/>
        <w:bottom w:val="none" w:sz="0" w:space="0" w:color="auto"/>
        <w:right w:val="none" w:sz="0" w:space="0" w:color="auto"/>
      </w:divBdr>
    </w:div>
    <w:div w:id="1161189831">
      <w:bodyDiv w:val="1"/>
      <w:marLeft w:val="0"/>
      <w:marRight w:val="0"/>
      <w:marTop w:val="0"/>
      <w:marBottom w:val="0"/>
      <w:divBdr>
        <w:top w:val="none" w:sz="0" w:space="0" w:color="auto"/>
        <w:left w:val="none" w:sz="0" w:space="0" w:color="auto"/>
        <w:bottom w:val="none" w:sz="0" w:space="0" w:color="auto"/>
        <w:right w:val="none" w:sz="0" w:space="0" w:color="auto"/>
      </w:divBdr>
    </w:div>
    <w:div w:id="1185747360">
      <w:bodyDiv w:val="1"/>
      <w:marLeft w:val="0"/>
      <w:marRight w:val="0"/>
      <w:marTop w:val="0"/>
      <w:marBottom w:val="0"/>
      <w:divBdr>
        <w:top w:val="none" w:sz="0" w:space="0" w:color="auto"/>
        <w:left w:val="none" w:sz="0" w:space="0" w:color="auto"/>
        <w:bottom w:val="none" w:sz="0" w:space="0" w:color="auto"/>
        <w:right w:val="none" w:sz="0" w:space="0" w:color="auto"/>
      </w:divBdr>
    </w:div>
    <w:div w:id="1223710033">
      <w:bodyDiv w:val="1"/>
      <w:marLeft w:val="0"/>
      <w:marRight w:val="0"/>
      <w:marTop w:val="0"/>
      <w:marBottom w:val="0"/>
      <w:divBdr>
        <w:top w:val="none" w:sz="0" w:space="0" w:color="auto"/>
        <w:left w:val="none" w:sz="0" w:space="0" w:color="auto"/>
        <w:bottom w:val="none" w:sz="0" w:space="0" w:color="auto"/>
        <w:right w:val="none" w:sz="0" w:space="0" w:color="auto"/>
      </w:divBdr>
    </w:div>
    <w:div w:id="1259681268">
      <w:bodyDiv w:val="1"/>
      <w:marLeft w:val="0"/>
      <w:marRight w:val="0"/>
      <w:marTop w:val="0"/>
      <w:marBottom w:val="0"/>
      <w:divBdr>
        <w:top w:val="none" w:sz="0" w:space="0" w:color="auto"/>
        <w:left w:val="none" w:sz="0" w:space="0" w:color="auto"/>
        <w:bottom w:val="none" w:sz="0" w:space="0" w:color="auto"/>
        <w:right w:val="none" w:sz="0" w:space="0" w:color="auto"/>
      </w:divBdr>
    </w:div>
    <w:div w:id="1292173372">
      <w:bodyDiv w:val="1"/>
      <w:marLeft w:val="0"/>
      <w:marRight w:val="0"/>
      <w:marTop w:val="0"/>
      <w:marBottom w:val="0"/>
      <w:divBdr>
        <w:top w:val="none" w:sz="0" w:space="0" w:color="auto"/>
        <w:left w:val="none" w:sz="0" w:space="0" w:color="auto"/>
        <w:bottom w:val="none" w:sz="0" w:space="0" w:color="auto"/>
        <w:right w:val="none" w:sz="0" w:space="0" w:color="auto"/>
      </w:divBdr>
    </w:div>
    <w:div w:id="1373651110">
      <w:bodyDiv w:val="1"/>
      <w:marLeft w:val="0"/>
      <w:marRight w:val="0"/>
      <w:marTop w:val="0"/>
      <w:marBottom w:val="0"/>
      <w:divBdr>
        <w:top w:val="none" w:sz="0" w:space="0" w:color="auto"/>
        <w:left w:val="none" w:sz="0" w:space="0" w:color="auto"/>
        <w:bottom w:val="none" w:sz="0" w:space="0" w:color="auto"/>
        <w:right w:val="none" w:sz="0" w:space="0" w:color="auto"/>
      </w:divBdr>
      <w:divsChild>
        <w:div w:id="507717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694681">
      <w:bodyDiv w:val="1"/>
      <w:marLeft w:val="0"/>
      <w:marRight w:val="0"/>
      <w:marTop w:val="0"/>
      <w:marBottom w:val="0"/>
      <w:divBdr>
        <w:top w:val="none" w:sz="0" w:space="0" w:color="auto"/>
        <w:left w:val="none" w:sz="0" w:space="0" w:color="auto"/>
        <w:bottom w:val="none" w:sz="0" w:space="0" w:color="auto"/>
        <w:right w:val="none" w:sz="0" w:space="0" w:color="auto"/>
      </w:divBdr>
    </w:div>
    <w:div w:id="1465006093">
      <w:bodyDiv w:val="1"/>
      <w:marLeft w:val="0"/>
      <w:marRight w:val="0"/>
      <w:marTop w:val="0"/>
      <w:marBottom w:val="0"/>
      <w:divBdr>
        <w:top w:val="none" w:sz="0" w:space="0" w:color="auto"/>
        <w:left w:val="none" w:sz="0" w:space="0" w:color="auto"/>
        <w:bottom w:val="none" w:sz="0" w:space="0" w:color="auto"/>
        <w:right w:val="none" w:sz="0" w:space="0" w:color="auto"/>
      </w:divBdr>
    </w:div>
    <w:div w:id="1485856821">
      <w:bodyDiv w:val="1"/>
      <w:marLeft w:val="0"/>
      <w:marRight w:val="0"/>
      <w:marTop w:val="0"/>
      <w:marBottom w:val="0"/>
      <w:divBdr>
        <w:top w:val="none" w:sz="0" w:space="0" w:color="auto"/>
        <w:left w:val="none" w:sz="0" w:space="0" w:color="auto"/>
        <w:bottom w:val="none" w:sz="0" w:space="0" w:color="auto"/>
        <w:right w:val="none" w:sz="0" w:space="0" w:color="auto"/>
      </w:divBdr>
    </w:div>
    <w:div w:id="1519393212">
      <w:bodyDiv w:val="1"/>
      <w:marLeft w:val="0"/>
      <w:marRight w:val="0"/>
      <w:marTop w:val="0"/>
      <w:marBottom w:val="0"/>
      <w:divBdr>
        <w:top w:val="none" w:sz="0" w:space="0" w:color="auto"/>
        <w:left w:val="none" w:sz="0" w:space="0" w:color="auto"/>
        <w:bottom w:val="none" w:sz="0" w:space="0" w:color="auto"/>
        <w:right w:val="none" w:sz="0" w:space="0" w:color="auto"/>
      </w:divBdr>
    </w:div>
    <w:div w:id="1588922478">
      <w:bodyDiv w:val="1"/>
      <w:marLeft w:val="0"/>
      <w:marRight w:val="0"/>
      <w:marTop w:val="0"/>
      <w:marBottom w:val="0"/>
      <w:divBdr>
        <w:top w:val="none" w:sz="0" w:space="0" w:color="auto"/>
        <w:left w:val="none" w:sz="0" w:space="0" w:color="auto"/>
        <w:bottom w:val="none" w:sz="0" w:space="0" w:color="auto"/>
        <w:right w:val="none" w:sz="0" w:space="0" w:color="auto"/>
      </w:divBdr>
    </w:div>
    <w:div w:id="1597132150">
      <w:bodyDiv w:val="1"/>
      <w:marLeft w:val="0"/>
      <w:marRight w:val="0"/>
      <w:marTop w:val="0"/>
      <w:marBottom w:val="0"/>
      <w:divBdr>
        <w:top w:val="none" w:sz="0" w:space="0" w:color="auto"/>
        <w:left w:val="none" w:sz="0" w:space="0" w:color="auto"/>
        <w:bottom w:val="none" w:sz="0" w:space="0" w:color="auto"/>
        <w:right w:val="none" w:sz="0" w:space="0" w:color="auto"/>
      </w:divBdr>
    </w:div>
    <w:div w:id="1620644602">
      <w:bodyDiv w:val="1"/>
      <w:marLeft w:val="0"/>
      <w:marRight w:val="0"/>
      <w:marTop w:val="0"/>
      <w:marBottom w:val="0"/>
      <w:divBdr>
        <w:top w:val="none" w:sz="0" w:space="0" w:color="auto"/>
        <w:left w:val="none" w:sz="0" w:space="0" w:color="auto"/>
        <w:bottom w:val="none" w:sz="0" w:space="0" w:color="auto"/>
        <w:right w:val="none" w:sz="0" w:space="0" w:color="auto"/>
      </w:divBdr>
    </w:div>
    <w:div w:id="1791313326">
      <w:bodyDiv w:val="1"/>
      <w:marLeft w:val="0"/>
      <w:marRight w:val="0"/>
      <w:marTop w:val="0"/>
      <w:marBottom w:val="0"/>
      <w:divBdr>
        <w:top w:val="none" w:sz="0" w:space="0" w:color="auto"/>
        <w:left w:val="none" w:sz="0" w:space="0" w:color="auto"/>
        <w:bottom w:val="none" w:sz="0" w:space="0" w:color="auto"/>
        <w:right w:val="none" w:sz="0" w:space="0" w:color="auto"/>
      </w:divBdr>
    </w:div>
    <w:div w:id="1798528454">
      <w:bodyDiv w:val="1"/>
      <w:marLeft w:val="0"/>
      <w:marRight w:val="0"/>
      <w:marTop w:val="0"/>
      <w:marBottom w:val="0"/>
      <w:divBdr>
        <w:top w:val="none" w:sz="0" w:space="0" w:color="auto"/>
        <w:left w:val="none" w:sz="0" w:space="0" w:color="auto"/>
        <w:bottom w:val="none" w:sz="0" w:space="0" w:color="auto"/>
        <w:right w:val="none" w:sz="0" w:space="0" w:color="auto"/>
      </w:divBdr>
    </w:div>
    <w:div w:id="1808622319">
      <w:bodyDiv w:val="1"/>
      <w:marLeft w:val="0"/>
      <w:marRight w:val="0"/>
      <w:marTop w:val="0"/>
      <w:marBottom w:val="0"/>
      <w:divBdr>
        <w:top w:val="none" w:sz="0" w:space="0" w:color="auto"/>
        <w:left w:val="none" w:sz="0" w:space="0" w:color="auto"/>
        <w:bottom w:val="none" w:sz="0" w:space="0" w:color="auto"/>
        <w:right w:val="none" w:sz="0" w:space="0" w:color="auto"/>
      </w:divBdr>
    </w:div>
    <w:div w:id="1881164901">
      <w:bodyDiv w:val="1"/>
      <w:marLeft w:val="0"/>
      <w:marRight w:val="0"/>
      <w:marTop w:val="0"/>
      <w:marBottom w:val="0"/>
      <w:divBdr>
        <w:top w:val="none" w:sz="0" w:space="0" w:color="auto"/>
        <w:left w:val="none" w:sz="0" w:space="0" w:color="auto"/>
        <w:bottom w:val="none" w:sz="0" w:space="0" w:color="auto"/>
        <w:right w:val="none" w:sz="0" w:space="0" w:color="auto"/>
      </w:divBdr>
    </w:div>
    <w:div w:id="1986278589">
      <w:bodyDiv w:val="1"/>
      <w:marLeft w:val="0"/>
      <w:marRight w:val="0"/>
      <w:marTop w:val="0"/>
      <w:marBottom w:val="0"/>
      <w:divBdr>
        <w:top w:val="none" w:sz="0" w:space="0" w:color="auto"/>
        <w:left w:val="none" w:sz="0" w:space="0" w:color="auto"/>
        <w:bottom w:val="none" w:sz="0" w:space="0" w:color="auto"/>
        <w:right w:val="none" w:sz="0" w:space="0" w:color="auto"/>
      </w:divBdr>
    </w:div>
    <w:div w:id="2040397982">
      <w:bodyDiv w:val="1"/>
      <w:marLeft w:val="0"/>
      <w:marRight w:val="0"/>
      <w:marTop w:val="0"/>
      <w:marBottom w:val="0"/>
      <w:divBdr>
        <w:top w:val="none" w:sz="0" w:space="0" w:color="auto"/>
        <w:left w:val="none" w:sz="0" w:space="0" w:color="auto"/>
        <w:bottom w:val="none" w:sz="0" w:space="0" w:color="auto"/>
        <w:right w:val="none" w:sz="0" w:space="0" w:color="auto"/>
      </w:divBdr>
    </w:div>
    <w:div w:id="2100828486">
      <w:bodyDiv w:val="1"/>
      <w:marLeft w:val="0"/>
      <w:marRight w:val="0"/>
      <w:marTop w:val="0"/>
      <w:marBottom w:val="0"/>
      <w:divBdr>
        <w:top w:val="none" w:sz="0" w:space="0" w:color="auto"/>
        <w:left w:val="none" w:sz="0" w:space="0" w:color="auto"/>
        <w:bottom w:val="none" w:sz="0" w:space="0" w:color="auto"/>
        <w:right w:val="none" w:sz="0" w:space="0" w:color="auto"/>
      </w:divBdr>
      <w:divsChild>
        <w:div w:id="94372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326027">
      <w:bodyDiv w:val="1"/>
      <w:marLeft w:val="0"/>
      <w:marRight w:val="0"/>
      <w:marTop w:val="0"/>
      <w:marBottom w:val="0"/>
      <w:divBdr>
        <w:top w:val="none" w:sz="0" w:space="0" w:color="auto"/>
        <w:left w:val="none" w:sz="0" w:space="0" w:color="auto"/>
        <w:bottom w:val="none" w:sz="0" w:space="0" w:color="auto"/>
        <w:right w:val="none" w:sz="0" w:space="0" w:color="auto"/>
      </w:divBdr>
    </w:div>
    <w:div w:id="2132893227">
      <w:bodyDiv w:val="1"/>
      <w:marLeft w:val="0"/>
      <w:marRight w:val="0"/>
      <w:marTop w:val="0"/>
      <w:marBottom w:val="0"/>
      <w:divBdr>
        <w:top w:val="none" w:sz="0" w:space="0" w:color="auto"/>
        <w:left w:val="none" w:sz="0" w:space="0" w:color="auto"/>
        <w:bottom w:val="none" w:sz="0" w:space="0" w:color="auto"/>
        <w:right w:val="none" w:sz="0" w:space="0" w:color="auto"/>
      </w:divBdr>
    </w:div>
    <w:div w:id="21463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dpFWNOuUK0?t=27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mUMEPP7NY0s?t=87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youtu.be/mUMEPP7NY0s?t=871" TargetMode="External"/><Relationship Id="rId1" Type="http://schemas.openxmlformats.org/officeDocument/2006/relationships/hyperlink" Target="https://youtu.be/IdpFWNOuUK0?t=270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B920-1377-4FA1-B188-295146C0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3460</Words>
  <Characters>18690</Characters>
  <Application>Microsoft Office Word</Application>
  <DocSecurity>0</DocSecurity>
  <Lines>155</Lines>
  <Paragraphs>44</Paragraphs>
  <ScaleCrop>false</ScaleCrop>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2025-04-01T17:54:00Z</dcterms:created>
  <dcterms:modified xsi:type="dcterms:W3CDTF">2025-04-01T17:59:00Z</dcterms:modified>
</cp:coreProperties>
</file>